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0DDC1" w14:textId="6BC6C978" w:rsidR="0044463D" w:rsidRPr="0044463D" w:rsidRDefault="00D3781B" w:rsidP="00D3781B">
      <w:pPr>
        <w:pStyle w:val="p1"/>
        <w:spacing w:before="0" w:beforeAutospacing="0" w:after="0" w:afterAutospacing="0"/>
        <w:jc w:val="center"/>
      </w:pPr>
      <w:r>
        <w:rPr>
          <w:sz w:val="32"/>
          <w:szCs w:val="32"/>
        </w:rPr>
        <w:t>Zoning Board of Appeals Minutes</w:t>
      </w:r>
      <w:r w:rsidR="0044463D" w:rsidRPr="0044463D">
        <w:br/>
        <w:t>March 2</w:t>
      </w:r>
      <w:r w:rsidR="00D1778C">
        <w:t>5</w:t>
      </w:r>
      <w:r w:rsidR="0044463D" w:rsidRPr="0044463D">
        <w:t>, 2026</w:t>
      </w:r>
    </w:p>
    <w:p w14:paraId="1BC812B4" w14:textId="77777777" w:rsidR="0044463D" w:rsidRDefault="0044463D" w:rsidP="00D3781B">
      <w:pPr>
        <w:pStyle w:val="p1"/>
        <w:spacing w:before="0" w:beforeAutospacing="0" w:after="0" w:afterAutospacing="0"/>
        <w:jc w:val="both"/>
      </w:pPr>
    </w:p>
    <w:p w14:paraId="252D07D1" w14:textId="7D091A11" w:rsidR="00D3781B" w:rsidRDefault="00D3781B" w:rsidP="00D3781B">
      <w:pPr>
        <w:pStyle w:val="p1"/>
        <w:tabs>
          <w:tab w:val="left" w:pos="1170"/>
        </w:tabs>
        <w:spacing w:before="0" w:beforeAutospacing="0" w:after="0" w:afterAutospacing="0"/>
        <w:jc w:val="both"/>
      </w:pPr>
      <w:r>
        <w:t>Present:</w:t>
      </w:r>
      <w:r>
        <w:tab/>
        <w:t>Tim Young, Chairman</w:t>
      </w:r>
    </w:p>
    <w:p w14:paraId="0770C878" w14:textId="0C36B4BA" w:rsidR="00D3781B" w:rsidRDefault="00D3781B" w:rsidP="00D3781B">
      <w:pPr>
        <w:pStyle w:val="p1"/>
        <w:tabs>
          <w:tab w:val="left" w:pos="1170"/>
        </w:tabs>
        <w:spacing w:before="0" w:beforeAutospacing="0" w:after="0" w:afterAutospacing="0"/>
        <w:jc w:val="both"/>
      </w:pPr>
      <w:r>
        <w:tab/>
      </w:r>
      <w:r w:rsidR="00143D47">
        <w:t>Bruce Kidder</w:t>
      </w:r>
    </w:p>
    <w:p w14:paraId="44C8B548" w14:textId="6F31A020" w:rsidR="00143D47" w:rsidRDefault="00143D47" w:rsidP="00D3781B">
      <w:pPr>
        <w:pStyle w:val="p1"/>
        <w:tabs>
          <w:tab w:val="left" w:pos="1170"/>
        </w:tabs>
        <w:spacing w:before="0" w:beforeAutospacing="0" w:after="0" w:afterAutospacing="0"/>
        <w:jc w:val="both"/>
      </w:pPr>
      <w:r>
        <w:tab/>
        <w:t>David Josephson</w:t>
      </w:r>
    </w:p>
    <w:p w14:paraId="61FC424E" w14:textId="603AC114" w:rsidR="00143D47" w:rsidRDefault="00143D47" w:rsidP="00D3781B">
      <w:pPr>
        <w:pStyle w:val="p1"/>
        <w:tabs>
          <w:tab w:val="left" w:pos="1170"/>
        </w:tabs>
        <w:spacing w:before="0" w:beforeAutospacing="0" w:after="0" w:afterAutospacing="0"/>
        <w:jc w:val="both"/>
      </w:pPr>
      <w:r>
        <w:tab/>
        <w:t>Gary Starr</w:t>
      </w:r>
    </w:p>
    <w:p w14:paraId="38FD4C17" w14:textId="77777777" w:rsidR="00143D47" w:rsidRDefault="00143D47" w:rsidP="00D3781B">
      <w:pPr>
        <w:pStyle w:val="p1"/>
        <w:tabs>
          <w:tab w:val="left" w:pos="1170"/>
        </w:tabs>
        <w:spacing w:before="0" w:beforeAutospacing="0" w:after="0" w:afterAutospacing="0"/>
        <w:jc w:val="both"/>
      </w:pPr>
    </w:p>
    <w:p w14:paraId="50726A42" w14:textId="10C28F77" w:rsidR="00143D47" w:rsidRDefault="00143D47" w:rsidP="00D3781B">
      <w:pPr>
        <w:pStyle w:val="p1"/>
        <w:tabs>
          <w:tab w:val="left" w:pos="1170"/>
        </w:tabs>
        <w:spacing w:before="0" w:beforeAutospacing="0" w:after="0" w:afterAutospacing="0"/>
        <w:jc w:val="both"/>
      </w:pPr>
      <w:r>
        <w:t>Present at the meeting in person: Attorney Joel Seachrist, Joe Flikkema, Robert Corp and Bonnie Newcomb.</w:t>
      </w:r>
    </w:p>
    <w:p w14:paraId="3D83C147" w14:textId="77777777" w:rsidR="00D3781B" w:rsidRPr="0044463D" w:rsidRDefault="00D3781B" w:rsidP="00D3781B">
      <w:pPr>
        <w:pStyle w:val="p1"/>
        <w:spacing w:before="0" w:beforeAutospacing="0" w:after="0" w:afterAutospacing="0"/>
        <w:jc w:val="both"/>
      </w:pPr>
    </w:p>
    <w:p w14:paraId="7E53D76D" w14:textId="675B2187" w:rsidR="00143D47" w:rsidRDefault="00143D47" w:rsidP="00D3781B">
      <w:pPr>
        <w:pStyle w:val="p1"/>
        <w:spacing w:before="0" w:beforeAutospacing="0" w:after="0" w:afterAutospacing="0"/>
        <w:jc w:val="both"/>
      </w:pPr>
      <w:r>
        <w:t>A public hearing before the Zoning Board of Appeals of the Town of Busti was held on Wednesday, March 2</w:t>
      </w:r>
      <w:r w:rsidR="00D1778C">
        <w:t>5</w:t>
      </w:r>
      <w:r>
        <w:t>, 2026 at 6:30 p.m. at the Town of Busti Administration Building, 125 Chautauqua Avenue, Lakewood, New York, to consider the following applications:</w:t>
      </w:r>
    </w:p>
    <w:p w14:paraId="4DA15E69" w14:textId="77777777" w:rsidR="00143D47" w:rsidRDefault="00143D47" w:rsidP="00D3781B">
      <w:pPr>
        <w:pStyle w:val="p1"/>
        <w:spacing w:before="0" w:beforeAutospacing="0" w:after="0" w:afterAutospacing="0"/>
        <w:jc w:val="both"/>
      </w:pPr>
    </w:p>
    <w:p w14:paraId="7CE53031" w14:textId="2088E944" w:rsidR="0044463D" w:rsidRDefault="0044463D" w:rsidP="00D3781B">
      <w:pPr>
        <w:pStyle w:val="p1"/>
        <w:spacing w:before="0" w:beforeAutospacing="0" w:after="0" w:afterAutospacing="0"/>
        <w:jc w:val="both"/>
      </w:pPr>
      <w:r w:rsidRPr="0044463D">
        <w:t xml:space="preserve">Application of Bonnie Newcomb, Rochester, New Hampshire, for an area variance for the reassembly of a 12’ x 27’ deck that was removed to facilitate </w:t>
      </w:r>
      <w:r w:rsidR="0074717C">
        <w:t xml:space="preserve">the required </w:t>
      </w:r>
      <w:r w:rsidRPr="0044463D">
        <w:t xml:space="preserve">repairs to a failing canal wall </w:t>
      </w:r>
      <w:r w:rsidR="0074717C">
        <w:t>on</w:t>
      </w:r>
      <w:r w:rsidRPr="0044463D">
        <w:t xml:space="preserve"> property located at 2432 </w:t>
      </w:r>
      <w:r w:rsidR="0074717C">
        <w:t xml:space="preserve">Vukote </w:t>
      </w:r>
      <w:r w:rsidRPr="0044463D">
        <w:t>Road, Ashville, New York. The property is owned by</w:t>
      </w:r>
      <w:r w:rsidR="0074717C">
        <w:t xml:space="preserve"> her </w:t>
      </w:r>
      <w:r w:rsidRPr="0044463D">
        <w:t xml:space="preserve">and known as Section 367.20, Block 1, Lot 26 of the </w:t>
      </w:r>
      <w:r w:rsidR="0074717C">
        <w:t>official t</w:t>
      </w:r>
      <w:r w:rsidRPr="0044463D">
        <w:t xml:space="preserve">ax </w:t>
      </w:r>
      <w:r w:rsidR="0074717C">
        <w:t>m</w:t>
      </w:r>
      <w:r w:rsidRPr="0044463D">
        <w:t>ap</w:t>
      </w:r>
      <w:r w:rsidR="0074717C">
        <w:t xml:space="preserve"> of the Town of Busti</w:t>
      </w:r>
      <w:r w:rsidRPr="0044463D">
        <w:t xml:space="preserve"> and is located in the Lakeshore Residential District.</w:t>
      </w:r>
      <w:r w:rsidR="005509C8">
        <w:t xml:space="preserve"> </w:t>
      </w:r>
      <w:r w:rsidRPr="0044463D">
        <w:t>Ms. Newcomb explained that the existing deck was removed to allow repairs to the canal wall</w:t>
      </w:r>
      <w:r w:rsidR="00C5075C">
        <w:t>, repairs required by the Town of Busti,</w:t>
      </w:r>
      <w:r w:rsidRPr="0044463D">
        <w:t xml:space="preserve"> and she wished to replace it</w:t>
      </w:r>
      <w:r w:rsidR="001F32F1">
        <w:t xml:space="preserve"> with the material of the previous disassembled deck.</w:t>
      </w:r>
      <w:r w:rsidRPr="0044463D">
        <w:t xml:space="preserve"> The </w:t>
      </w:r>
      <w:r w:rsidR="001F32F1">
        <w:t>b</w:t>
      </w:r>
      <w:r w:rsidRPr="0044463D">
        <w:t>oard discussed the location of the deck in relation to the side property line and noted that portions of the original deck extended beyond the width of the house. Discussion was held regarding reducing the width of the replacement deck to match the width of the house. The Board also discussed fire safety concerns and maintaining adequate access between neighboring structures.</w:t>
      </w:r>
      <w:r w:rsidR="0062325F">
        <w:t xml:space="preserve"> </w:t>
      </w:r>
      <w:r w:rsidRPr="0044463D">
        <w:t>The applicant questioned why the replacement required a variance. It was explained that the original deck</w:t>
      </w:r>
      <w:r w:rsidR="00C5075C">
        <w:t>, which was installed prior to her purchasing the property,</w:t>
      </w:r>
      <w:r w:rsidRPr="0044463D">
        <w:t xml:space="preserve"> had not been permitted when originally constructed and therefore approval was required before replacement.</w:t>
      </w:r>
      <w:r w:rsidR="0062325F">
        <w:t xml:space="preserve"> After discussion, the board agreed </w:t>
      </w:r>
      <w:r w:rsidR="001F32F1">
        <w:t xml:space="preserve">to allow Bonnie to replace the deck at a smaller size. Tim Young motioned </w:t>
      </w:r>
      <w:r w:rsidR="0062325F">
        <w:t>to grant Bonnie Newcomb a side yard variance of 1.7’</w:t>
      </w:r>
      <w:r w:rsidR="001F32F1">
        <w:t xml:space="preserve"> which would reduce the size of the deck to 12’ x 24’, this reduction in size would allow the deck to match the width of the house and not extend further. Seconded by Bruce Kidder.  Dave Josephson voted aye, Gary Starr abstained from his vote.</w:t>
      </w:r>
      <w:r w:rsidR="00EF4E65">
        <w:t xml:space="preserve"> </w:t>
      </w:r>
      <w:r w:rsidRPr="0044463D">
        <w:t>The applicant was advised that a building permit would be required</w:t>
      </w:r>
      <w:r w:rsidR="00EF4E65">
        <w:t xml:space="preserve"> to get from the code enforcement officer.</w:t>
      </w:r>
    </w:p>
    <w:p w14:paraId="7C3A08FD" w14:textId="77777777" w:rsidR="00252B40" w:rsidRPr="0044463D" w:rsidRDefault="00252B40" w:rsidP="00D3781B">
      <w:pPr>
        <w:pStyle w:val="p1"/>
        <w:spacing w:before="0" w:beforeAutospacing="0" w:after="0" w:afterAutospacing="0"/>
        <w:jc w:val="both"/>
      </w:pPr>
    </w:p>
    <w:p w14:paraId="7B45DDA2" w14:textId="1C54413C" w:rsidR="00104CFB" w:rsidRDefault="00104CFB" w:rsidP="00D3781B">
      <w:pPr>
        <w:pStyle w:val="p1"/>
        <w:spacing w:before="0" w:beforeAutospacing="0" w:after="0" w:afterAutospacing="0"/>
        <w:jc w:val="both"/>
      </w:pPr>
      <w:r w:rsidRPr="00866438">
        <w:t xml:space="preserve">Application of Robert </w:t>
      </w:r>
      <w:r w:rsidRPr="005332F2">
        <w:t>Corp</w:t>
      </w:r>
      <w:r w:rsidRPr="00866438">
        <w:t xml:space="preserve">, </w:t>
      </w:r>
      <w:r w:rsidRPr="005332F2">
        <w:t>Hamburg</w:t>
      </w:r>
      <w:r w:rsidRPr="00866438">
        <w:t>, New York for an area variance to replace an existing garage and construct an addition to the existing residence on property located at 2445 Lakeside Drive, Ashville, New York. Property is owned by him and known as Section 367.20, Block 3, Lot 21 of the official tax map of the Town of Busti. Property is located in the Lakeshore Residential District.</w:t>
      </w:r>
      <w:r>
        <w:t xml:space="preserve"> The application of Robert Corp was previously tabled at the zoning board of appeals public hearing on January 28, 2026, due to needing more information.</w:t>
      </w:r>
    </w:p>
    <w:p w14:paraId="3F0AD325" w14:textId="77777777" w:rsidR="00104CFB" w:rsidRDefault="00104CFB" w:rsidP="00D3781B">
      <w:pPr>
        <w:pStyle w:val="p1"/>
        <w:spacing w:before="0" w:beforeAutospacing="0" w:after="0" w:afterAutospacing="0"/>
        <w:jc w:val="both"/>
      </w:pPr>
    </w:p>
    <w:p w14:paraId="32C95A12" w14:textId="552E3972" w:rsidR="00D9539C" w:rsidRDefault="00D556B8" w:rsidP="00D9539C">
      <w:pPr>
        <w:pStyle w:val="p1"/>
        <w:spacing w:before="0" w:beforeAutospacing="0" w:after="0" w:afterAutospacing="0"/>
        <w:jc w:val="both"/>
      </w:pPr>
      <w:r>
        <w:t>Robert Corp</w:t>
      </w:r>
      <w:r w:rsidR="0044463D" w:rsidRPr="0044463D">
        <w:t xml:space="preserve"> explained that the existing garage and breezeway would be removed and replaced with a new garage positioned five feet from the side property line. The breezeway would be eliminated and the garage extended across the front of the existing </w:t>
      </w:r>
      <w:r w:rsidR="00BD5A42" w:rsidRPr="0044463D">
        <w:t>structure</w:t>
      </w:r>
      <w:r w:rsidR="00BD5A42">
        <w:t>;</w:t>
      </w:r>
      <w:r w:rsidR="001F5F18">
        <w:t xml:space="preserve"> the garage would be even with the house.</w:t>
      </w:r>
      <w:r w:rsidR="0044463D" w:rsidRPr="0044463D">
        <w:t xml:space="preserve"> No second story was proposed. A front porch would be added and remain unenclosed.</w:t>
      </w:r>
      <w:r w:rsidR="00AE0F2A">
        <w:t xml:space="preserve"> </w:t>
      </w:r>
      <w:r w:rsidR="0044463D" w:rsidRPr="0044463D">
        <w:t xml:space="preserve">The Board reviewed the requested variances. The property contains approximately 4,500 square feet where 5,000 square feet are required, </w:t>
      </w:r>
      <w:r w:rsidR="00AE0F2A">
        <w:t>needing</w:t>
      </w:r>
      <w:r w:rsidR="0044463D" w:rsidRPr="0044463D">
        <w:t xml:space="preserve"> a 500 square foot lot size variance. The proposed lot coverage would be approximately 47</w:t>
      </w:r>
      <w:r w:rsidR="00AE0F2A">
        <w:t>.68</w:t>
      </w:r>
      <w:r w:rsidR="0044463D" w:rsidRPr="0044463D">
        <w:t>%, requiring a 22.68% lot coverage variance</w:t>
      </w:r>
      <w:r w:rsidR="00AE0F2A">
        <w:t xml:space="preserve"> to meet the required 25% lot coverage</w:t>
      </w:r>
      <w:r w:rsidR="0044463D" w:rsidRPr="0044463D">
        <w:t>. Discussion was held regarding front yard setbacks, side setbacks, and compliance with state fire separation requirements.</w:t>
      </w:r>
      <w:r w:rsidR="00BD5A42">
        <w:t xml:space="preserve"> </w:t>
      </w:r>
      <w:r w:rsidR="0044463D" w:rsidRPr="0044463D">
        <w:lastRenderedPageBreak/>
        <w:t>The Board completed the balancing test and found that the benefit to the applicant outweighed any detriment to the neighborhood or community.</w:t>
      </w:r>
      <w:r w:rsidR="00BD5A42">
        <w:t xml:space="preserve"> </w:t>
      </w:r>
      <w:r w:rsidR="0044463D" w:rsidRPr="0044463D">
        <w:t xml:space="preserve">Chairman Young made a motion to </w:t>
      </w:r>
      <w:r w:rsidR="00BD5A42">
        <w:t>grant</w:t>
      </w:r>
      <w:r w:rsidR="0044463D" w:rsidRPr="0044463D">
        <w:t xml:space="preserve"> the applica</w:t>
      </w:r>
      <w:r w:rsidR="00BD5A42">
        <w:t>nt, Robert</w:t>
      </w:r>
      <w:r w:rsidR="0044463D" w:rsidRPr="0044463D">
        <w:t xml:space="preserve"> </w:t>
      </w:r>
      <w:r w:rsidR="00BD5A42">
        <w:t>Corp</w:t>
      </w:r>
      <w:r w:rsidR="0044463D" w:rsidRPr="0044463D">
        <w:t>, a 500</w:t>
      </w:r>
      <w:r w:rsidR="00BD5A42">
        <w:t>sqft</w:t>
      </w:r>
      <w:r w:rsidR="0044463D" w:rsidRPr="0044463D">
        <w:t xml:space="preserve"> lot </w:t>
      </w:r>
      <w:r w:rsidR="00BD5A42">
        <w:t>area</w:t>
      </w:r>
      <w:r w:rsidR="0044463D" w:rsidRPr="0044463D">
        <w:t xml:space="preserve"> variance and a 22.68% lot coverage variance. The new garage shall be located five feet from the east side property line as presented.</w:t>
      </w:r>
      <w:r w:rsidR="00BD5A42">
        <w:t xml:space="preserve"> </w:t>
      </w:r>
      <w:r w:rsidR="0044463D" w:rsidRPr="0044463D">
        <w:t xml:space="preserve">Seconded by </w:t>
      </w:r>
      <w:r w:rsidR="00BD5A42">
        <w:t>Dave Josephson</w:t>
      </w:r>
      <w:r w:rsidR="0044463D" w:rsidRPr="0044463D">
        <w:t>.</w:t>
      </w:r>
      <w:r w:rsidR="00BD5A42">
        <w:t xml:space="preserve"> </w:t>
      </w:r>
      <w:r w:rsidR="0044463D" w:rsidRPr="0044463D">
        <w:t>All in favor, carried.</w:t>
      </w:r>
    </w:p>
    <w:p w14:paraId="6DBF0F92" w14:textId="77777777" w:rsidR="00D9539C" w:rsidRDefault="00D9539C" w:rsidP="00D9539C">
      <w:pPr>
        <w:pStyle w:val="p1"/>
        <w:spacing w:before="0" w:beforeAutospacing="0" w:after="0" w:afterAutospacing="0"/>
        <w:jc w:val="both"/>
      </w:pPr>
    </w:p>
    <w:p w14:paraId="099A759C" w14:textId="6D70AD1F" w:rsidR="00D9539C" w:rsidRDefault="00D9539C" w:rsidP="00D9539C">
      <w:pPr>
        <w:pStyle w:val="p1"/>
        <w:spacing w:before="0" w:beforeAutospacing="0" w:after="0" w:afterAutospacing="0"/>
        <w:jc w:val="both"/>
      </w:pPr>
      <w:r>
        <w:t xml:space="preserve">Application of William Geary, Hilliard, Ohio </w:t>
      </w:r>
      <w:r w:rsidRPr="00866438">
        <w:t>for an area variance to replace an existing 12’</w:t>
      </w:r>
      <w:r w:rsidRPr="00D056C5">
        <w:t xml:space="preserve"> </w:t>
      </w:r>
      <w:r w:rsidRPr="00866438">
        <w:t>x</w:t>
      </w:r>
      <w:r w:rsidRPr="00D056C5">
        <w:t xml:space="preserve"> </w:t>
      </w:r>
      <w:r w:rsidRPr="00866438">
        <w:t>24’ shed with a 14’ x 32’ shed on property located at 2452 Lakeside Drive, Ashville, New York. Property is owned by him and known as Section 367.20, Block 4, Lot 26 of the official tax map of the Town of Busti. Property is located in the Lakeshore Residential District.</w:t>
      </w:r>
      <w:r>
        <w:t xml:space="preserve"> In May of 2025 Geary replaced the 12’ x 24’ shed with a 14’ x 32’ shed without obtaining a building permit from the Town of Busti. Geary received a stop work order notice from the Town of Busti Code Enforcement Officer as the shed did not meet the town code setback requirements. Original variance application was submitted, reviewed and granted by the Zoning Board of Appeals on June 25, 2025.  The Zoning Board of Appeals rescinded the granted variances on July 3, 2025.  </w:t>
      </w:r>
      <w:r w:rsidR="00D007A5">
        <w:t>At the previous Zoning Board of Appeals Public Hearing on January 28, 2026, it was recommended that a written decision would be prepared by the Town of Busti’s Town Attorney, Joel Seachrist, regarding the application, and would be presented from Attorney Joel Seachrist at the upcoming meeting, March 2</w:t>
      </w:r>
      <w:r w:rsidR="00D1778C">
        <w:t>5</w:t>
      </w:r>
      <w:r w:rsidR="00D007A5">
        <w:t>, 2026.</w:t>
      </w:r>
    </w:p>
    <w:p w14:paraId="6FDD7B13" w14:textId="77777777" w:rsidR="009E2C7B" w:rsidRDefault="009E2C7B" w:rsidP="00D9539C">
      <w:pPr>
        <w:pStyle w:val="p1"/>
        <w:spacing w:before="0" w:beforeAutospacing="0" w:after="0" w:afterAutospacing="0"/>
        <w:jc w:val="both"/>
      </w:pPr>
    </w:p>
    <w:p w14:paraId="4040650A" w14:textId="4373C5DD" w:rsidR="005237EF" w:rsidRDefault="009E2C7B" w:rsidP="00D9539C">
      <w:pPr>
        <w:pStyle w:val="p1"/>
        <w:spacing w:before="0" w:beforeAutospacing="0" w:after="0" w:afterAutospacing="0"/>
        <w:jc w:val="both"/>
      </w:pPr>
      <w:r>
        <w:t>Attorney Joel Seachrist acknowledged an email he had received from a neighbor of the Geary’s, regarding their application.</w:t>
      </w:r>
      <w:r w:rsidR="00FC15B6">
        <w:t xml:space="preserve"> Diana Geary joined the public hearing by speakerphone at 7:01 p.m.</w:t>
      </w:r>
      <w:r w:rsidR="00E75BD6">
        <w:t xml:space="preserve"> </w:t>
      </w:r>
      <w:r w:rsidR="005237EF">
        <w:t xml:space="preserve">Chairman Tim Young presented the </w:t>
      </w:r>
      <w:r w:rsidR="00E75BD6">
        <w:t xml:space="preserve">following </w:t>
      </w:r>
      <w:r w:rsidR="005237EF">
        <w:t>official area variance findings and decision to Diana Geary</w:t>
      </w:r>
      <w:r w:rsidR="00E75BD6">
        <w:t>:</w:t>
      </w:r>
    </w:p>
    <w:p w14:paraId="36D46355" w14:textId="77777777" w:rsidR="00E75BD6" w:rsidRDefault="00E75BD6" w:rsidP="00D9539C">
      <w:pPr>
        <w:pStyle w:val="p1"/>
        <w:spacing w:before="0" w:beforeAutospacing="0" w:after="0" w:afterAutospacing="0"/>
        <w:jc w:val="both"/>
      </w:pPr>
    </w:p>
    <w:p w14:paraId="27843F92" w14:textId="77777777" w:rsidR="00897FF5" w:rsidRDefault="00897FF5" w:rsidP="00D9539C">
      <w:pPr>
        <w:pStyle w:val="p1"/>
        <w:spacing w:before="0" w:beforeAutospacing="0" w:after="0" w:afterAutospacing="0"/>
        <w:jc w:val="both"/>
      </w:pPr>
    </w:p>
    <w:p w14:paraId="75B0679A" w14:textId="23BE0B7A" w:rsidR="00E75BD6" w:rsidRDefault="00E75BD6" w:rsidP="00D9539C">
      <w:pPr>
        <w:pStyle w:val="p1"/>
        <w:spacing w:before="0" w:beforeAutospacing="0" w:after="0" w:afterAutospacing="0"/>
        <w:jc w:val="both"/>
      </w:pPr>
    </w:p>
    <w:p w14:paraId="73C1AE3D" w14:textId="77777777" w:rsidR="00897FF5" w:rsidRPr="00897FF5" w:rsidRDefault="00582888" w:rsidP="00897FF5">
      <w:pPr>
        <w:pStyle w:val="Heading1"/>
        <w:spacing w:before="0" w:after="0" w:line="240" w:lineRule="auto"/>
        <w:jc w:val="both"/>
        <w:rPr>
          <w:rFonts w:ascii="Aptos" w:eastAsia="Times New Roman" w:hAnsi="Aptos" w:cs="Times New Roman"/>
          <w:b/>
          <w:color w:val="0F4761"/>
          <w:sz w:val="22"/>
          <w:szCs w:val="22"/>
        </w:rPr>
      </w:pPr>
      <w:r w:rsidRPr="00582888">
        <w:rPr>
          <w:noProof/>
        </w:rPr>
        <w:t xml:space="preserve">  </w:t>
      </w:r>
      <w:r w:rsidR="00897FF5" w:rsidRPr="00897FF5">
        <w:rPr>
          <w:rFonts w:ascii="Aptos" w:eastAsia="Times New Roman" w:hAnsi="Aptos" w:cs="Times New Roman"/>
          <w:b/>
          <w:color w:val="0F4761"/>
          <w:sz w:val="22"/>
          <w:szCs w:val="22"/>
        </w:rPr>
        <w:t xml:space="preserve">ZONING BOARD OF APPEALS </w:t>
      </w:r>
    </w:p>
    <w:p w14:paraId="68465B09" w14:textId="77777777" w:rsidR="00897FF5" w:rsidRPr="00897FF5" w:rsidRDefault="00897FF5" w:rsidP="00897FF5">
      <w:pPr>
        <w:widowControl w:val="0"/>
        <w:tabs>
          <w:tab w:val="left" w:pos="204"/>
        </w:tabs>
        <w:spacing w:after="0" w:line="240" w:lineRule="auto"/>
        <w:jc w:val="both"/>
        <w:rPr>
          <w:rFonts w:ascii="Aptos" w:eastAsia="Aptos" w:hAnsi="Aptos" w:cs="Times New Roman"/>
          <w:b/>
          <w:snapToGrid w:val="0"/>
          <w:sz w:val="22"/>
          <w:szCs w:val="22"/>
        </w:rPr>
      </w:pPr>
      <w:r w:rsidRPr="00897FF5">
        <w:rPr>
          <w:rFonts w:ascii="Aptos" w:eastAsia="Aptos" w:hAnsi="Aptos" w:cs="Times New Roman"/>
          <w:b/>
          <w:snapToGrid w:val="0"/>
          <w:sz w:val="22"/>
          <w:szCs w:val="22"/>
        </w:rPr>
        <w:t xml:space="preserve">TOWN OF BUSTI, CHAUTAUQUA COUNTY, </w:t>
      </w:r>
      <w:smartTag w:uri="urn:schemas-microsoft-com:office:smarttags" w:element="stockticker">
        <w:r w:rsidRPr="00897FF5">
          <w:rPr>
            <w:rFonts w:ascii="Aptos" w:eastAsia="Aptos" w:hAnsi="Aptos" w:cs="Times New Roman"/>
            <w:b/>
            <w:snapToGrid w:val="0"/>
            <w:sz w:val="22"/>
            <w:szCs w:val="22"/>
          </w:rPr>
          <w:t>NEW</w:t>
        </w:r>
      </w:smartTag>
      <w:r w:rsidRPr="00897FF5">
        <w:rPr>
          <w:rFonts w:ascii="Aptos" w:eastAsia="Aptos" w:hAnsi="Aptos" w:cs="Times New Roman"/>
          <w:b/>
          <w:snapToGrid w:val="0"/>
          <w:sz w:val="22"/>
          <w:szCs w:val="22"/>
        </w:rPr>
        <w:t xml:space="preserve"> </w:t>
      </w:r>
      <w:smartTag w:uri="urn:schemas-microsoft-com:office:smarttags" w:element="stockticker">
        <w:r w:rsidRPr="00897FF5">
          <w:rPr>
            <w:rFonts w:ascii="Aptos" w:eastAsia="Aptos" w:hAnsi="Aptos" w:cs="Times New Roman"/>
            <w:b/>
            <w:snapToGrid w:val="0"/>
            <w:sz w:val="22"/>
            <w:szCs w:val="22"/>
          </w:rPr>
          <w:t>YORK</w:t>
        </w:r>
      </w:smartTag>
    </w:p>
    <w:p w14:paraId="6E1F524A" w14:textId="77777777" w:rsidR="00897FF5" w:rsidRPr="00897FF5" w:rsidRDefault="00897FF5" w:rsidP="00897FF5">
      <w:pPr>
        <w:widowControl w:val="0"/>
        <w:tabs>
          <w:tab w:val="left" w:pos="204"/>
        </w:tabs>
        <w:spacing w:after="0" w:line="240" w:lineRule="auto"/>
        <w:jc w:val="both"/>
        <w:rPr>
          <w:rFonts w:ascii="Aptos" w:eastAsia="Aptos" w:hAnsi="Aptos" w:cs="Times New Roman"/>
          <w:snapToGrid w:val="0"/>
          <w:sz w:val="22"/>
          <w:szCs w:val="22"/>
          <w:u w:val="single"/>
        </w:rPr>
      </w:pPr>
      <w:r w:rsidRPr="00897FF5">
        <w:rPr>
          <w:rFonts w:ascii="Aptos" w:eastAsia="Aptos" w:hAnsi="Aptos" w:cs="Times New Roman"/>
          <w:snapToGrid w:val="0"/>
          <w:sz w:val="22"/>
          <w:szCs w:val="22"/>
          <w:u w:val="single"/>
        </w:rPr>
        <w:tab/>
      </w:r>
      <w:r w:rsidRPr="00897FF5">
        <w:rPr>
          <w:rFonts w:ascii="Aptos" w:eastAsia="Aptos" w:hAnsi="Aptos" w:cs="Times New Roman"/>
          <w:snapToGrid w:val="0"/>
          <w:sz w:val="22"/>
          <w:szCs w:val="22"/>
          <w:u w:val="single"/>
        </w:rPr>
        <w:tab/>
      </w:r>
      <w:r w:rsidRPr="00897FF5">
        <w:rPr>
          <w:rFonts w:ascii="Aptos" w:eastAsia="Aptos" w:hAnsi="Aptos" w:cs="Times New Roman"/>
          <w:snapToGrid w:val="0"/>
          <w:sz w:val="22"/>
          <w:szCs w:val="22"/>
          <w:u w:val="single"/>
        </w:rPr>
        <w:tab/>
      </w:r>
      <w:r w:rsidRPr="00897FF5">
        <w:rPr>
          <w:rFonts w:ascii="Aptos" w:eastAsia="Aptos" w:hAnsi="Aptos" w:cs="Times New Roman"/>
          <w:snapToGrid w:val="0"/>
          <w:sz w:val="22"/>
          <w:szCs w:val="22"/>
          <w:u w:val="single"/>
        </w:rPr>
        <w:tab/>
      </w:r>
      <w:r w:rsidRPr="00897FF5">
        <w:rPr>
          <w:rFonts w:ascii="Aptos" w:eastAsia="Aptos" w:hAnsi="Aptos" w:cs="Times New Roman"/>
          <w:snapToGrid w:val="0"/>
          <w:sz w:val="22"/>
          <w:szCs w:val="22"/>
          <w:u w:val="single"/>
        </w:rPr>
        <w:tab/>
      </w:r>
      <w:r w:rsidRPr="00897FF5">
        <w:rPr>
          <w:rFonts w:ascii="Aptos" w:eastAsia="Aptos" w:hAnsi="Aptos" w:cs="Times New Roman"/>
          <w:snapToGrid w:val="0"/>
          <w:sz w:val="22"/>
          <w:szCs w:val="22"/>
          <w:u w:val="single"/>
        </w:rPr>
        <w:tab/>
      </w:r>
      <w:r w:rsidRPr="00897FF5">
        <w:rPr>
          <w:rFonts w:ascii="Aptos" w:eastAsia="Aptos" w:hAnsi="Aptos" w:cs="Times New Roman"/>
          <w:snapToGrid w:val="0"/>
          <w:sz w:val="22"/>
          <w:szCs w:val="22"/>
          <w:u w:val="single"/>
        </w:rPr>
        <w:tab/>
      </w:r>
      <w:r w:rsidRPr="00897FF5">
        <w:rPr>
          <w:rFonts w:ascii="Aptos" w:eastAsia="Aptos" w:hAnsi="Aptos" w:cs="Times New Roman"/>
          <w:snapToGrid w:val="0"/>
          <w:sz w:val="22"/>
          <w:szCs w:val="22"/>
          <w:u w:val="single"/>
        </w:rPr>
        <w:tab/>
        <w:t>__</w:t>
      </w:r>
    </w:p>
    <w:p w14:paraId="42A4E1E9" w14:textId="77777777" w:rsidR="00897FF5" w:rsidRPr="00897FF5" w:rsidRDefault="00897FF5" w:rsidP="00897FF5">
      <w:pPr>
        <w:widowControl w:val="0"/>
        <w:tabs>
          <w:tab w:val="left" w:pos="204"/>
        </w:tabs>
        <w:spacing w:after="0" w:line="240" w:lineRule="auto"/>
        <w:jc w:val="both"/>
        <w:rPr>
          <w:rFonts w:ascii="Aptos" w:eastAsia="Aptos" w:hAnsi="Aptos" w:cs="Times New Roman"/>
          <w:snapToGrid w:val="0"/>
          <w:sz w:val="22"/>
          <w:szCs w:val="22"/>
          <w:u w:val="single"/>
        </w:rPr>
      </w:pPr>
    </w:p>
    <w:p w14:paraId="4A7B7964" w14:textId="77777777" w:rsidR="00897FF5" w:rsidRPr="00897FF5" w:rsidRDefault="00897FF5" w:rsidP="00897FF5">
      <w:pPr>
        <w:widowControl w:val="0"/>
        <w:tabs>
          <w:tab w:val="left" w:pos="204"/>
        </w:tabs>
        <w:spacing w:after="0" w:line="240" w:lineRule="auto"/>
        <w:ind w:left="2160" w:hanging="2160"/>
        <w:jc w:val="both"/>
        <w:rPr>
          <w:rFonts w:ascii="Aptos" w:eastAsia="Aptos" w:hAnsi="Aptos" w:cs="Times New Roman"/>
          <w:b/>
          <w:smallCaps/>
          <w:snapToGrid w:val="0"/>
          <w:sz w:val="22"/>
          <w:szCs w:val="22"/>
        </w:rPr>
      </w:pPr>
      <w:r w:rsidRPr="00897FF5">
        <w:rPr>
          <w:rFonts w:ascii="Aptos" w:eastAsia="Aptos" w:hAnsi="Aptos" w:cs="Times New Roman"/>
          <w:snapToGrid w:val="0"/>
          <w:sz w:val="22"/>
          <w:szCs w:val="22"/>
        </w:rPr>
        <w:t xml:space="preserve">               In the Matter of the Application of</w:t>
      </w:r>
      <w:r w:rsidRPr="00897FF5">
        <w:rPr>
          <w:rFonts w:ascii="Aptos" w:eastAsia="Aptos" w:hAnsi="Aptos" w:cs="Times New Roman"/>
          <w:snapToGrid w:val="0"/>
          <w:sz w:val="22"/>
          <w:szCs w:val="22"/>
        </w:rPr>
        <w:tab/>
      </w:r>
      <w:r w:rsidRPr="00897FF5">
        <w:rPr>
          <w:rFonts w:ascii="Aptos" w:eastAsia="Aptos" w:hAnsi="Aptos" w:cs="Times New Roman"/>
          <w:snapToGrid w:val="0"/>
          <w:sz w:val="22"/>
          <w:szCs w:val="22"/>
        </w:rPr>
        <w:tab/>
        <w:t xml:space="preserve">                    </w:t>
      </w:r>
      <w:r w:rsidRPr="00897FF5">
        <w:rPr>
          <w:rFonts w:ascii="Aptos" w:eastAsia="Aptos" w:hAnsi="Aptos" w:cs="Times New Roman"/>
          <w:b/>
          <w:smallCaps/>
          <w:snapToGrid w:val="0"/>
          <w:sz w:val="22"/>
          <w:szCs w:val="22"/>
        </w:rPr>
        <w:t xml:space="preserve">area variance findings &amp; Decision </w:t>
      </w:r>
    </w:p>
    <w:p w14:paraId="7DECD1AF" w14:textId="77777777" w:rsidR="00897FF5" w:rsidRPr="00897FF5" w:rsidRDefault="00897FF5" w:rsidP="00897FF5">
      <w:pPr>
        <w:widowControl w:val="0"/>
        <w:tabs>
          <w:tab w:val="left" w:pos="204"/>
        </w:tabs>
        <w:spacing w:after="0" w:line="240" w:lineRule="auto"/>
        <w:ind w:left="2160" w:hanging="2160"/>
        <w:jc w:val="both"/>
        <w:rPr>
          <w:rFonts w:ascii="Aptos" w:eastAsia="Aptos" w:hAnsi="Aptos" w:cs="Times New Roman"/>
          <w:snapToGrid w:val="0"/>
          <w:sz w:val="22"/>
          <w:szCs w:val="22"/>
          <w:u w:val="single"/>
        </w:rPr>
      </w:pPr>
      <w:r w:rsidRPr="00897FF5">
        <w:rPr>
          <w:rFonts w:ascii="Aptos" w:eastAsia="Aptos" w:hAnsi="Aptos" w:cs="Times New Roman"/>
          <w:b/>
          <w:smallCaps/>
          <w:snapToGrid w:val="0"/>
          <w:sz w:val="22"/>
          <w:szCs w:val="22"/>
        </w:rPr>
        <w:tab/>
        <w:t xml:space="preserve">                              </w:t>
      </w:r>
      <w:r w:rsidRPr="00897FF5">
        <w:rPr>
          <w:rFonts w:ascii="Aptos" w:eastAsia="Aptos" w:hAnsi="Aptos" w:cs="Times New Roman"/>
          <w:snapToGrid w:val="0"/>
          <w:sz w:val="22"/>
          <w:szCs w:val="22"/>
        </w:rPr>
        <w:t>William Geary</w:t>
      </w:r>
      <w:r w:rsidRPr="00897FF5">
        <w:rPr>
          <w:rFonts w:ascii="Aptos" w:eastAsia="Aptos" w:hAnsi="Aptos" w:cs="Times New Roman"/>
          <w:b/>
          <w:smallCaps/>
          <w:snapToGrid w:val="0"/>
          <w:sz w:val="22"/>
          <w:szCs w:val="22"/>
        </w:rPr>
        <w:tab/>
      </w:r>
      <w:r w:rsidRPr="00897FF5">
        <w:rPr>
          <w:rFonts w:ascii="Aptos" w:eastAsia="Aptos" w:hAnsi="Aptos" w:cs="Times New Roman"/>
          <w:b/>
          <w:smallCaps/>
          <w:snapToGrid w:val="0"/>
          <w:sz w:val="22"/>
          <w:szCs w:val="22"/>
        </w:rPr>
        <w:tab/>
        <w:t xml:space="preserve">                               </w:t>
      </w:r>
    </w:p>
    <w:p w14:paraId="0135170C" w14:textId="77777777" w:rsidR="00897FF5" w:rsidRPr="00897FF5" w:rsidRDefault="00897FF5" w:rsidP="00897FF5">
      <w:pPr>
        <w:widowControl w:val="0"/>
        <w:tabs>
          <w:tab w:val="left" w:pos="6281"/>
        </w:tabs>
        <w:spacing w:after="0" w:line="240" w:lineRule="auto"/>
        <w:jc w:val="both"/>
        <w:rPr>
          <w:rFonts w:ascii="Aptos" w:eastAsia="Aptos" w:hAnsi="Aptos" w:cs="Times New Roman"/>
          <w:snapToGrid w:val="0"/>
          <w:sz w:val="22"/>
          <w:szCs w:val="22"/>
        </w:rPr>
      </w:pPr>
      <w:r w:rsidRPr="00897FF5">
        <w:rPr>
          <w:rFonts w:ascii="Aptos" w:eastAsia="Aptos" w:hAnsi="Aptos" w:cs="Times New Roman"/>
          <w:snapToGrid w:val="0"/>
          <w:sz w:val="22"/>
          <w:szCs w:val="22"/>
        </w:rPr>
        <w:t>____________________________________________________</w:t>
      </w:r>
    </w:p>
    <w:p w14:paraId="6CC1CD32" w14:textId="77777777" w:rsidR="00897FF5" w:rsidRPr="00897FF5" w:rsidRDefault="00897FF5" w:rsidP="00897FF5">
      <w:pPr>
        <w:spacing w:after="0" w:line="240" w:lineRule="auto"/>
        <w:jc w:val="both"/>
        <w:rPr>
          <w:rFonts w:ascii="Aptos" w:eastAsia="Aptos" w:hAnsi="Aptos" w:cs="Times New Roman"/>
        </w:rPr>
      </w:pPr>
    </w:p>
    <w:p w14:paraId="61E9ECF3"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sz w:val="22"/>
          <w:szCs w:val="22"/>
        </w:rPr>
        <w:t>William Geary seeks Area Variances that would permit him to maintain a 14’ x 32’ accessory structure on his property at 2452 Lakeside Drive, Ashville, New York. The property is designated on the official tax map of Chautauqua County as Section 367.20, Block 4, Lot 26.</w:t>
      </w:r>
    </w:p>
    <w:p w14:paraId="66342055" w14:textId="77777777" w:rsidR="00897FF5" w:rsidRPr="00897FF5" w:rsidRDefault="00897FF5" w:rsidP="00897FF5">
      <w:pPr>
        <w:spacing w:after="0" w:line="240" w:lineRule="auto"/>
        <w:jc w:val="both"/>
        <w:rPr>
          <w:rFonts w:ascii="Aptos" w:eastAsia="Aptos" w:hAnsi="Aptos" w:cs="Times New Roman"/>
          <w:sz w:val="22"/>
          <w:szCs w:val="22"/>
        </w:rPr>
      </w:pPr>
    </w:p>
    <w:p w14:paraId="78C958F5" w14:textId="77777777" w:rsidR="00897FF5" w:rsidRPr="00897FF5" w:rsidRDefault="00897FF5" w:rsidP="00897FF5">
      <w:pPr>
        <w:spacing w:after="0" w:line="240" w:lineRule="auto"/>
        <w:jc w:val="both"/>
        <w:rPr>
          <w:rFonts w:ascii="Aptos" w:eastAsia="Aptos" w:hAnsi="Aptos" w:cs="Times New Roman"/>
          <w:sz w:val="22"/>
          <w:szCs w:val="22"/>
        </w:rPr>
      </w:pPr>
    </w:p>
    <w:p w14:paraId="5F66A769" w14:textId="77777777" w:rsidR="00897FF5" w:rsidRPr="00897FF5" w:rsidRDefault="00897FF5" w:rsidP="00897FF5">
      <w:pPr>
        <w:spacing w:after="0" w:line="240" w:lineRule="auto"/>
        <w:jc w:val="center"/>
        <w:rPr>
          <w:rFonts w:ascii="Aptos" w:eastAsia="Aptos" w:hAnsi="Aptos" w:cs="Times New Roman"/>
          <w:b/>
          <w:bCs/>
          <w:sz w:val="22"/>
          <w:szCs w:val="22"/>
        </w:rPr>
      </w:pPr>
      <w:r w:rsidRPr="00897FF5">
        <w:rPr>
          <w:rFonts w:ascii="Aptos" w:eastAsia="Aptos" w:hAnsi="Aptos" w:cs="Times New Roman"/>
          <w:b/>
          <w:bCs/>
          <w:sz w:val="22"/>
          <w:szCs w:val="22"/>
        </w:rPr>
        <w:t>FACTUAL BACKGROUND</w:t>
      </w:r>
    </w:p>
    <w:p w14:paraId="00316374" w14:textId="77777777" w:rsidR="00897FF5" w:rsidRPr="00897FF5" w:rsidRDefault="00897FF5" w:rsidP="00897FF5">
      <w:pPr>
        <w:spacing w:after="0" w:line="240" w:lineRule="auto"/>
        <w:jc w:val="both"/>
        <w:rPr>
          <w:rFonts w:ascii="Aptos" w:eastAsia="Aptos" w:hAnsi="Aptos" w:cs="Times New Roman"/>
          <w:sz w:val="22"/>
          <w:szCs w:val="22"/>
        </w:rPr>
      </w:pPr>
    </w:p>
    <w:p w14:paraId="01C119BC"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sz w:val="22"/>
          <w:szCs w:val="22"/>
        </w:rPr>
        <w:t xml:space="preserve">William Geary is the sole member of Little Blue, LLC, which owns the subject property (the “Applicant”). On June 5, 2025, he applied for an Area Variance to permit the placement of a 14’ x 32’ accessory structure on the property, which he had already constructed without obtaining the necessary building permit. On June 25, 2025, the Zoning Board of Appeals (“ZBA”) granted variances for lot area (630 sq. ft.), lot width (25 ft.), front yard (10 ft.), and south side yard (3.1 ft. from the concrete pad). However, on July 3, 2025, the ZBA rescinded those variances after receiving additional information regarding potential lot coverage exceedance, inconsistencies with the described use of the structure, and other concerns that called into question the original analysis. These inconsistencies included the Applicant's failure to disclose in the initial application the structure's role in supporting short-term rental activities, which necessitated climate-controlled storage </w:t>
      </w:r>
      <w:r w:rsidRPr="00897FF5">
        <w:rPr>
          <w:rFonts w:ascii="Aptos" w:eastAsia="Aptos" w:hAnsi="Aptos" w:cs="Times New Roman"/>
          <w:sz w:val="22"/>
          <w:szCs w:val="22"/>
        </w:rPr>
        <w:lastRenderedPageBreak/>
        <w:t xml:space="preserve">for personal items, food, drinks, hosting supplies, tools, dock/boat maintenance equipment, and seasonal recreational gear such as tubing, skiing, and snowmobiling items. </w:t>
      </w:r>
    </w:p>
    <w:p w14:paraId="6804E470" w14:textId="77777777" w:rsidR="00897FF5" w:rsidRPr="00897FF5" w:rsidRDefault="00897FF5" w:rsidP="00897FF5">
      <w:pPr>
        <w:spacing w:after="0" w:line="240" w:lineRule="auto"/>
        <w:jc w:val="both"/>
        <w:rPr>
          <w:rFonts w:ascii="Aptos" w:eastAsia="Aptos" w:hAnsi="Aptos" w:cs="Times New Roman"/>
          <w:sz w:val="22"/>
          <w:szCs w:val="22"/>
        </w:rPr>
      </w:pPr>
    </w:p>
    <w:p w14:paraId="1EBC8C2C" w14:textId="77777777" w:rsidR="00897FF5" w:rsidRPr="00897FF5" w:rsidRDefault="00897FF5" w:rsidP="00897FF5">
      <w:pPr>
        <w:spacing w:after="0" w:line="240" w:lineRule="auto"/>
        <w:jc w:val="both"/>
        <w:rPr>
          <w:rFonts w:ascii="Aptos" w:eastAsia="Aptos" w:hAnsi="Aptos" w:cs="Times New Roman"/>
          <w:sz w:val="22"/>
          <w:szCs w:val="22"/>
        </w:rPr>
      </w:pPr>
    </w:p>
    <w:p w14:paraId="425A3253"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sz w:val="22"/>
          <w:szCs w:val="22"/>
        </w:rPr>
        <w:t>The Applicant has now reapplied for Area Variances to maintain the structure in its current location and configuration, and supplies more detail regarding the intended use of the shed, including  family-oriented justifications like protecting children from secondhand smoke via the porch.</w:t>
      </w:r>
    </w:p>
    <w:p w14:paraId="194978CA" w14:textId="77777777" w:rsidR="00897FF5" w:rsidRPr="00897FF5" w:rsidRDefault="00897FF5" w:rsidP="00897FF5">
      <w:pPr>
        <w:spacing w:after="0" w:line="240" w:lineRule="auto"/>
        <w:jc w:val="both"/>
        <w:rPr>
          <w:rFonts w:ascii="Aptos" w:eastAsia="Aptos" w:hAnsi="Aptos" w:cs="Times New Roman"/>
          <w:sz w:val="22"/>
          <w:szCs w:val="22"/>
        </w:rPr>
      </w:pPr>
    </w:p>
    <w:p w14:paraId="32ABA0AB"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sz w:val="22"/>
          <w:szCs w:val="22"/>
        </w:rPr>
        <w:t>The initial structure on the site was a 12’ x 24’ shed constructed without a permit or variance. The Applicant replaced this with the current larger 14’ x 32’ structure, also without obtaining a permit or variance prior to construction. The new structure is insulated and air-conditioned, features two man-doors but no overhead door, and includes a small covered front porch area</w:t>
      </w:r>
      <w:r w:rsidRPr="00897FF5">
        <w:rPr>
          <w:rFonts w:ascii="Aptos" w:eastAsia="Aptos" w:hAnsi="Aptos" w:cs="Times New Roman"/>
          <w:color w:val="000000"/>
          <w:sz w:val="22"/>
          <w:szCs w:val="22"/>
        </w:rPr>
        <w:t xml:space="preserve">. The shed is used for storage of linens, food, household items, tools, equipment, and recreational gear in connection with the Applicant’s operation of the adjacent residential dwelling as a short-term rental. </w:t>
      </w:r>
      <w:r w:rsidRPr="00897FF5">
        <w:rPr>
          <w:rFonts w:ascii="Aptos" w:eastAsia="Aptos" w:hAnsi="Aptos" w:cs="Times New Roman"/>
          <w:sz w:val="22"/>
          <w:szCs w:val="22"/>
        </w:rPr>
        <w:t>Given its features, including climate control and lack of typical shed access points like an overhead door, the structure appears to function more as a detached addition to the house rather than as a traditional accessory “shed” for basic storage.</w:t>
      </w:r>
    </w:p>
    <w:p w14:paraId="7D3F9E4D" w14:textId="77777777" w:rsidR="00897FF5" w:rsidRPr="00897FF5" w:rsidRDefault="00897FF5" w:rsidP="00897FF5">
      <w:pPr>
        <w:spacing w:after="0" w:line="240" w:lineRule="auto"/>
        <w:jc w:val="both"/>
        <w:rPr>
          <w:rFonts w:ascii="Aptos" w:eastAsia="Aptos" w:hAnsi="Aptos" w:cs="Times New Roman"/>
          <w:sz w:val="22"/>
          <w:szCs w:val="22"/>
        </w:rPr>
      </w:pPr>
    </w:p>
    <w:p w14:paraId="0CA8FC8B"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sz w:val="22"/>
          <w:szCs w:val="22"/>
        </w:rPr>
        <w:t>There is no doubt that if the Applicant had applied for variances to construct this structure before building it, the request would not have been approved, as the ZBA would have had the opportunity to fully evaluate its compliance with zoning requirements, its impact on the neighborhood, and its encroachment on a sewer easement prior to any construction.</w:t>
      </w:r>
    </w:p>
    <w:p w14:paraId="49ED0AAE" w14:textId="77777777" w:rsidR="00897FF5" w:rsidRPr="00897FF5" w:rsidRDefault="00897FF5" w:rsidP="00897FF5">
      <w:pPr>
        <w:spacing w:after="0" w:line="240" w:lineRule="auto"/>
        <w:jc w:val="both"/>
        <w:rPr>
          <w:rFonts w:ascii="Aptos" w:eastAsia="Aptos" w:hAnsi="Aptos" w:cs="Times New Roman"/>
          <w:sz w:val="22"/>
          <w:szCs w:val="22"/>
        </w:rPr>
      </w:pPr>
    </w:p>
    <w:p w14:paraId="25BF992B"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sz w:val="22"/>
          <w:szCs w:val="22"/>
        </w:rPr>
        <w:t xml:space="preserve">The subject property is located within the Lakeshore Residential (LR) District. The relevant area limitations within that district are contained in Section </w:t>
      </w:r>
      <w:r w:rsidRPr="00897FF5">
        <w:rPr>
          <w:rFonts w:ascii="Aptos" w:eastAsia="Aptos" w:hAnsi="Aptos" w:cs="Times New Roman"/>
          <w:color w:val="000000"/>
          <w:sz w:val="22"/>
          <w:szCs w:val="22"/>
        </w:rPr>
        <w:t xml:space="preserve">405-205 </w:t>
      </w:r>
      <w:r w:rsidRPr="00897FF5">
        <w:rPr>
          <w:rFonts w:ascii="Aptos" w:eastAsia="Aptos" w:hAnsi="Aptos" w:cs="Times New Roman"/>
          <w:sz w:val="22"/>
          <w:szCs w:val="22"/>
        </w:rPr>
        <w:t>of the Town of Busti Zoning Code, and are as follows:</w:t>
      </w:r>
    </w:p>
    <w:p w14:paraId="4263C5F0" w14:textId="77777777" w:rsidR="00897FF5" w:rsidRPr="00897FF5" w:rsidRDefault="00897FF5" w:rsidP="00897FF5">
      <w:pPr>
        <w:spacing w:after="0" w:line="240" w:lineRule="auto"/>
        <w:jc w:val="both"/>
        <w:rPr>
          <w:rFonts w:ascii="Aptos" w:eastAsia="Aptos" w:hAnsi="Aptos" w:cs="Times New Roman"/>
          <w:sz w:val="22"/>
          <w:szCs w:val="22"/>
        </w:rPr>
      </w:pPr>
    </w:p>
    <w:p w14:paraId="08AD4E53" w14:textId="77777777" w:rsidR="00897FF5" w:rsidRPr="00897FF5" w:rsidRDefault="00897FF5" w:rsidP="00897FF5">
      <w:pPr>
        <w:spacing w:after="0" w:line="240" w:lineRule="auto"/>
        <w:jc w:val="both"/>
        <w:rPr>
          <w:rFonts w:ascii="Aptos" w:eastAsia="Aptos" w:hAnsi="Aptos" w:cs="Times New Roman"/>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6"/>
        <w:gridCol w:w="1867"/>
        <w:gridCol w:w="1651"/>
        <w:gridCol w:w="2191"/>
      </w:tblGrid>
      <w:tr w:rsidR="00897FF5" w:rsidRPr="00897FF5" w14:paraId="1D1CF0E0" w14:textId="77777777" w:rsidTr="00C275EB">
        <w:trPr>
          <w:trHeight w:val="555"/>
          <w:jc w:val="center"/>
        </w:trPr>
        <w:tc>
          <w:tcPr>
            <w:tcW w:w="2696" w:type="dxa"/>
            <w:tcBorders>
              <w:top w:val="double" w:sz="4" w:space="0" w:color="auto"/>
              <w:left w:val="double" w:sz="4" w:space="0" w:color="auto"/>
              <w:bottom w:val="single" w:sz="4" w:space="0" w:color="auto"/>
              <w:right w:val="double" w:sz="4" w:space="0" w:color="auto"/>
            </w:tcBorders>
            <w:shd w:val="clear" w:color="auto" w:fill="E0E0E0"/>
            <w:vAlign w:val="center"/>
          </w:tcPr>
          <w:p w14:paraId="7BA27A39" w14:textId="77777777" w:rsidR="00897FF5" w:rsidRPr="00897FF5" w:rsidRDefault="00897FF5" w:rsidP="00897FF5">
            <w:pPr>
              <w:tabs>
                <w:tab w:val="left" w:pos="360"/>
                <w:tab w:val="left" w:pos="720"/>
                <w:tab w:val="left" w:pos="1080"/>
                <w:tab w:val="left" w:pos="1440"/>
                <w:tab w:val="left" w:pos="1800"/>
                <w:tab w:val="left" w:pos="2160"/>
              </w:tabs>
              <w:spacing w:after="0"/>
              <w:rPr>
                <w:rFonts w:ascii="Calibri" w:eastAsia="Aptos" w:hAnsi="Calibri" w:cs="Times New Roman"/>
                <w:b/>
              </w:rPr>
            </w:pPr>
            <w:r w:rsidRPr="00897FF5">
              <w:rPr>
                <w:rFonts w:ascii="Calibri" w:eastAsia="Aptos" w:hAnsi="Calibri" w:cs="Times New Roman"/>
                <w:b/>
              </w:rPr>
              <w:t xml:space="preserve">                Limitation</w:t>
            </w:r>
          </w:p>
        </w:tc>
        <w:tc>
          <w:tcPr>
            <w:tcW w:w="1867" w:type="dxa"/>
            <w:tcBorders>
              <w:top w:val="double" w:sz="4" w:space="0" w:color="auto"/>
              <w:left w:val="double" w:sz="4" w:space="0" w:color="auto"/>
              <w:bottom w:val="single" w:sz="4" w:space="0" w:color="auto"/>
              <w:right w:val="double" w:sz="4" w:space="0" w:color="auto"/>
            </w:tcBorders>
            <w:shd w:val="clear" w:color="auto" w:fill="E0E0E0"/>
            <w:vAlign w:val="center"/>
          </w:tcPr>
          <w:p w14:paraId="2337E621" w14:textId="77777777" w:rsidR="00897FF5" w:rsidRPr="00897FF5" w:rsidRDefault="00897FF5" w:rsidP="00897FF5">
            <w:pPr>
              <w:tabs>
                <w:tab w:val="left" w:pos="360"/>
                <w:tab w:val="left" w:pos="720"/>
                <w:tab w:val="left" w:pos="1080"/>
                <w:tab w:val="left" w:pos="1440"/>
                <w:tab w:val="left" w:pos="1800"/>
                <w:tab w:val="left" w:pos="2160"/>
              </w:tabs>
              <w:spacing w:after="0" w:line="240" w:lineRule="auto"/>
              <w:jc w:val="center"/>
              <w:rPr>
                <w:rFonts w:ascii="Calibri" w:eastAsia="Aptos" w:hAnsi="Calibri" w:cs="Times New Roman"/>
                <w:b/>
              </w:rPr>
            </w:pPr>
            <w:r w:rsidRPr="00897FF5">
              <w:rPr>
                <w:rFonts w:ascii="Calibri" w:eastAsia="Aptos" w:hAnsi="Calibri" w:cs="Times New Roman"/>
                <w:b/>
              </w:rPr>
              <w:t>Code Requirement</w:t>
            </w:r>
          </w:p>
        </w:tc>
        <w:tc>
          <w:tcPr>
            <w:tcW w:w="1651" w:type="dxa"/>
            <w:tcBorders>
              <w:top w:val="double" w:sz="4" w:space="0" w:color="auto"/>
              <w:left w:val="double" w:sz="4" w:space="0" w:color="auto"/>
              <w:bottom w:val="single" w:sz="4" w:space="0" w:color="auto"/>
              <w:right w:val="double" w:sz="4" w:space="0" w:color="auto"/>
            </w:tcBorders>
            <w:shd w:val="clear" w:color="auto" w:fill="E0E0E0"/>
            <w:vAlign w:val="center"/>
          </w:tcPr>
          <w:p w14:paraId="3284388F" w14:textId="77777777" w:rsidR="00897FF5" w:rsidRPr="00897FF5" w:rsidRDefault="00897FF5" w:rsidP="00897FF5">
            <w:pPr>
              <w:tabs>
                <w:tab w:val="left" w:pos="360"/>
                <w:tab w:val="left" w:pos="720"/>
                <w:tab w:val="left" w:pos="1080"/>
                <w:tab w:val="left" w:pos="1440"/>
                <w:tab w:val="left" w:pos="1800"/>
                <w:tab w:val="left" w:pos="2160"/>
              </w:tabs>
              <w:spacing w:after="0" w:line="240" w:lineRule="auto"/>
              <w:jc w:val="center"/>
              <w:rPr>
                <w:rFonts w:ascii="Calibri" w:eastAsia="Aptos" w:hAnsi="Calibri" w:cs="Times New Roman"/>
                <w:b/>
              </w:rPr>
            </w:pPr>
            <w:r w:rsidRPr="00897FF5">
              <w:rPr>
                <w:rFonts w:ascii="Calibri" w:eastAsia="Aptos" w:hAnsi="Calibri" w:cs="Times New Roman"/>
                <w:b/>
              </w:rPr>
              <w:t>Proposed by Applicant</w:t>
            </w:r>
          </w:p>
        </w:tc>
        <w:tc>
          <w:tcPr>
            <w:tcW w:w="2191" w:type="dxa"/>
            <w:tcBorders>
              <w:top w:val="double" w:sz="4" w:space="0" w:color="auto"/>
              <w:left w:val="double" w:sz="4" w:space="0" w:color="auto"/>
              <w:bottom w:val="single" w:sz="4" w:space="0" w:color="auto"/>
              <w:right w:val="double" w:sz="4" w:space="0" w:color="auto"/>
            </w:tcBorders>
            <w:shd w:val="clear" w:color="auto" w:fill="E0E0E0"/>
            <w:vAlign w:val="center"/>
          </w:tcPr>
          <w:p w14:paraId="157AA51C" w14:textId="77777777" w:rsidR="00897FF5" w:rsidRPr="00897FF5" w:rsidRDefault="00897FF5" w:rsidP="00897FF5">
            <w:pPr>
              <w:tabs>
                <w:tab w:val="left" w:pos="360"/>
                <w:tab w:val="left" w:pos="720"/>
                <w:tab w:val="left" w:pos="1080"/>
                <w:tab w:val="left" w:pos="1440"/>
                <w:tab w:val="left" w:pos="1800"/>
                <w:tab w:val="left" w:pos="2160"/>
              </w:tabs>
              <w:spacing w:after="0"/>
              <w:jc w:val="center"/>
              <w:rPr>
                <w:rFonts w:ascii="Calibri" w:eastAsia="Aptos" w:hAnsi="Calibri" w:cs="Times New Roman"/>
                <w:b/>
                <w:color w:val="EE0000"/>
              </w:rPr>
            </w:pPr>
            <w:r w:rsidRPr="00897FF5">
              <w:rPr>
                <w:rFonts w:ascii="Calibri" w:eastAsia="Aptos" w:hAnsi="Calibri" w:cs="Times New Roman"/>
                <w:b/>
              </w:rPr>
              <w:t>% Variance</w:t>
            </w:r>
          </w:p>
        </w:tc>
      </w:tr>
      <w:tr w:rsidR="00897FF5" w:rsidRPr="00897FF5" w14:paraId="739A77D4" w14:textId="77777777" w:rsidTr="00C275EB">
        <w:trPr>
          <w:trHeight w:val="515"/>
          <w:jc w:val="center"/>
        </w:trPr>
        <w:tc>
          <w:tcPr>
            <w:tcW w:w="2696" w:type="dxa"/>
            <w:tcBorders>
              <w:top w:val="double" w:sz="4" w:space="0" w:color="auto"/>
              <w:left w:val="double" w:sz="4" w:space="0" w:color="auto"/>
              <w:right w:val="double" w:sz="4" w:space="0" w:color="auto"/>
            </w:tcBorders>
            <w:shd w:val="clear" w:color="auto" w:fill="E0E0E0"/>
            <w:vAlign w:val="center"/>
          </w:tcPr>
          <w:p w14:paraId="7A5182B6" w14:textId="77777777" w:rsidR="00897FF5" w:rsidRPr="00897FF5" w:rsidRDefault="00897FF5" w:rsidP="00897FF5">
            <w:pPr>
              <w:tabs>
                <w:tab w:val="left" w:pos="360"/>
                <w:tab w:val="left" w:pos="720"/>
                <w:tab w:val="left" w:pos="1080"/>
                <w:tab w:val="left" w:pos="1440"/>
                <w:tab w:val="left" w:pos="1800"/>
                <w:tab w:val="left" w:pos="2160"/>
              </w:tabs>
              <w:spacing w:after="0"/>
              <w:jc w:val="center"/>
              <w:rPr>
                <w:rFonts w:ascii="Calibri" w:eastAsia="Aptos" w:hAnsi="Calibri" w:cs="Times New Roman"/>
              </w:rPr>
            </w:pPr>
            <w:r w:rsidRPr="00897FF5">
              <w:rPr>
                <w:rFonts w:ascii="Calibri" w:eastAsia="Aptos" w:hAnsi="Calibri" w:cs="Times New Roman"/>
              </w:rPr>
              <w:t>Minimum Lot Area</w:t>
            </w:r>
          </w:p>
        </w:tc>
        <w:tc>
          <w:tcPr>
            <w:tcW w:w="1867" w:type="dxa"/>
            <w:tcBorders>
              <w:top w:val="double" w:sz="4" w:space="0" w:color="auto"/>
              <w:left w:val="double" w:sz="4" w:space="0" w:color="auto"/>
              <w:right w:val="double" w:sz="4" w:space="0" w:color="auto"/>
            </w:tcBorders>
            <w:vAlign w:val="center"/>
          </w:tcPr>
          <w:p w14:paraId="241068F2" w14:textId="77777777" w:rsidR="00897FF5" w:rsidRPr="00897FF5" w:rsidRDefault="00897FF5" w:rsidP="00897FF5">
            <w:pPr>
              <w:tabs>
                <w:tab w:val="left" w:pos="360"/>
                <w:tab w:val="left" w:pos="720"/>
                <w:tab w:val="left" w:pos="1080"/>
                <w:tab w:val="left" w:pos="1440"/>
                <w:tab w:val="left" w:pos="1800"/>
                <w:tab w:val="left" w:pos="2160"/>
              </w:tabs>
              <w:spacing w:after="0"/>
              <w:jc w:val="center"/>
              <w:rPr>
                <w:rFonts w:ascii="Calibri" w:eastAsia="Aptos" w:hAnsi="Calibri" w:cs="Times New Roman"/>
              </w:rPr>
            </w:pPr>
            <w:r w:rsidRPr="00897FF5">
              <w:rPr>
                <w:rFonts w:ascii="Calibri" w:eastAsia="Aptos" w:hAnsi="Calibri" w:cs="Times New Roman"/>
              </w:rPr>
              <w:t>5,000 sq. ft.</w:t>
            </w:r>
          </w:p>
        </w:tc>
        <w:tc>
          <w:tcPr>
            <w:tcW w:w="1651" w:type="dxa"/>
            <w:tcBorders>
              <w:top w:val="double" w:sz="4" w:space="0" w:color="auto"/>
              <w:left w:val="double" w:sz="4" w:space="0" w:color="auto"/>
              <w:right w:val="double" w:sz="4" w:space="0" w:color="auto"/>
            </w:tcBorders>
            <w:vAlign w:val="center"/>
          </w:tcPr>
          <w:p w14:paraId="2496C3E3" w14:textId="77777777" w:rsidR="00897FF5" w:rsidRPr="00897FF5" w:rsidRDefault="00897FF5" w:rsidP="00897FF5">
            <w:pPr>
              <w:tabs>
                <w:tab w:val="left" w:pos="360"/>
                <w:tab w:val="left" w:pos="720"/>
                <w:tab w:val="left" w:pos="1080"/>
                <w:tab w:val="left" w:pos="1440"/>
                <w:tab w:val="left" w:pos="1800"/>
                <w:tab w:val="left" w:pos="2160"/>
              </w:tabs>
              <w:spacing w:after="0"/>
              <w:jc w:val="center"/>
              <w:rPr>
                <w:rFonts w:ascii="Calibri" w:eastAsia="Aptos" w:hAnsi="Calibri" w:cs="Times New Roman"/>
              </w:rPr>
            </w:pPr>
            <w:r w:rsidRPr="00897FF5">
              <w:rPr>
                <w:rFonts w:ascii="Calibri" w:eastAsia="Aptos" w:hAnsi="Calibri" w:cs="Times New Roman"/>
              </w:rPr>
              <w:t>4,370 sq. ft.</w:t>
            </w:r>
          </w:p>
        </w:tc>
        <w:tc>
          <w:tcPr>
            <w:tcW w:w="2191" w:type="dxa"/>
            <w:tcBorders>
              <w:top w:val="double" w:sz="4" w:space="0" w:color="auto"/>
              <w:left w:val="double" w:sz="4" w:space="0" w:color="auto"/>
              <w:right w:val="double" w:sz="4" w:space="0" w:color="auto"/>
            </w:tcBorders>
            <w:vAlign w:val="center"/>
          </w:tcPr>
          <w:p w14:paraId="46E5A93E" w14:textId="77777777" w:rsidR="00897FF5" w:rsidRPr="00897FF5" w:rsidRDefault="00897FF5" w:rsidP="00897FF5">
            <w:pPr>
              <w:tabs>
                <w:tab w:val="left" w:pos="360"/>
                <w:tab w:val="left" w:pos="720"/>
                <w:tab w:val="left" w:pos="1080"/>
                <w:tab w:val="left" w:pos="1440"/>
                <w:tab w:val="left" w:pos="1800"/>
                <w:tab w:val="left" w:pos="2160"/>
              </w:tabs>
              <w:spacing w:after="0"/>
              <w:jc w:val="center"/>
              <w:rPr>
                <w:rFonts w:ascii="Calibri" w:eastAsia="Aptos" w:hAnsi="Calibri" w:cs="Times New Roman"/>
                <w:color w:val="EE0000"/>
              </w:rPr>
            </w:pPr>
            <w:r w:rsidRPr="00897FF5">
              <w:rPr>
                <w:rFonts w:ascii="Calibri" w:eastAsia="Aptos" w:hAnsi="Calibri" w:cs="Times New Roman"/>
              </w:rPr>
              <w:t>12.6% (630 sq. ft.)</w:t>
            </w:r>
          </w:p>
        </w:tc>
      </w:tr>
      <w:tr w:rsidR="00897FF5" w:rsidRPr="00897FF5" w14:paraId="2D0A43FF" w14:textId="77777777" w:rsidTr="00C275EB">
        <w:trPr>
          <w:trHeight w:val="368"/>
          <w:jc w:val="center"/>
        </w:trPr>
        <w:tc>
          <w:tcPr>
            <w:tcW w:w="2696" w:type="dxa"/>
            <w:tcBorders>
              <w:left w:val="double" w:sz="4" w:space="0" w:color="auto"/>
              <w:right w:val="double" w:sz="4" w:space="0" w:color="auto"/>
            </w:tcBorders>
            <w:shd w:val="clear" w:color="auto" w:fill="E0E0E0"/>
            <w:vAlign w:val="center"/>
          </w:tcPr>
          <w:p w14:paraId="07F3E4B9" w14:textId="77777777" w:rsidR="00897FF5" w:rsidRPr="00897FF5" w:rsidRDefault="00897FF5" w:rsidP="00897FF5">
            <w:pPr>
              <w:tabs>
                <w:tab w:val="left" w:pos="360"/>
                <w:tab w:val="left" w:pos="720"/>
                <w:tab w:val="left" w:pos="1080"/>
                <w:tab w:val="left" w:pos="1440"/>
                <w:tab w:val="left" w:pos="1800"/>
                <w:tab w:val="left" w:pos="2160"/>
              </w:tabs>
              <w:spacing w:after="0"/>
              <w:jc w:val="center"/>
              <w:rPr>
                <w:rFonts w:ascii="Calibri" w:eastAsia="Aptos" w:hAnsi="Calibri" w:cs="Times New Roman"/>
              </w:rPr>
            </w:pPr>
            <w:r w:rsidRPr="00897FF5">
              <w:rPr>
                <w:rFonts w:ascii="Calibri" w:eastAsia="Aptos" w:hAnsi="Calibri" w:cs="Times New Roman"/>
              </w:rPr>
              <w:t>Minimum Lot Width</w:t>
            </w:r>
          </w:p>
        </w:tc>
        <w:tc>
          <w:tcPr>
            <w:tcW w:w="1867" w:type="dxa"/>
            <w:tcBorders>
              <w:left w:val="double" w:sz="4" w:space="0" w:color="auto"/>
              <w:right w:val="double" w:sz="4" w:space="0" w:color="auto"/>
            </w:tcBorders>
            <w:vAlign w:val="center"/>
          </w:tcPr>
          <w:p w14:paraId="329A457B" w14:textId="77777777" w:rsidR="00897FF5" w:rsidRPr="00897FF5" w:rsidRDefault="00897FF5" w:rsidP="00897FF5">
            <w:pPr>
              <w:tabs>
                <w:tab w:val="left" w:pos="360"/>
                <w:tab w:val="left" w:pos="720"/>
                <w:tab w:val="left" w:pos="1080"/>
                <w:tab w:val="left" w:pos="1440"/>
                <w:tab w:val="left" w:pos="1800"/>
                <w:tab w:val="left" w:pos="2160"/>
              </w:tabs>
              <w:spacing w:after="0"/>
              <w:jc w:val="center"/>
              <w:rPr>
                <w:rFonts w:ascii="Calibri" w:eastAsia="Aptos" w:hAnsi="Calibri" w:cs="Times New Roman"/>
              </w:rPr>
            </w:pPr>
            <w:r w:rsidRPr="00897FF5">
              <w:rPr>
                <w:rFonts w:ascii="Calibri" w:eastAsia="Aptos" w:hAnsi="Calibri" w:cs="Times New Roman"/>
              </w:rPr>
              <w:t>50 ft.</w:t>
            </w:r>
          </w:p>
        </w:tc>
        <w:tc>
          <w:tcPr>
            <w:tcW w:w="1651" w:type="dxa"/>
            <w:tcBorders>
              <w:left w:val="double" w:sz="4" w:space="0" w:color="auto"/>
              <w:right w:val="double" w:sz="4" w:space="0" w:color="auto"/>
            </w:tcBorders>
            <w:vAlign w:val="center"/>
          </w:tcPr>
          <w:p w14:paraId="636842F8" w14:textId="77777777" w:rsidR="00897FF5" w:rsidRPr="00897FF5" w:rsidRDefault="00897FF5" w:rsidP="00897FF5">
            <w:pPr>
              <w:tabs>
                <w:tab w:val="left" w:pos="360"/>
                <w:tab w:val="left" w:pos="720"/>
                <w:tab w:val="left" w:pos="1080"/>
                <w:tab w:val="left" w:pos="1440"/>
                <w:tab w:val="left" w:pos="1800"/>
                <w:tab w:val="left" w:pos="2160"/>
              </w:tabs>
              <w:spacing w:after="0"/>
              <w:jc w:val="center"/>
              <w:rPr>
                <w:rFonts w:ascii="Calibri" w:eastAsia="Aptos" w:hAnsi="Calibri" w:cs="Times New Roman"/>
              </w:rPr>
            </w:pPr>
            <w:r w:rsidRPr="00897FF5">
              <w:rPr>
                <w:rFonts w:ascii="Calibri" w:eastAsia="Aptos" w:hAnsi="Calibri" w:cs="Times New Roman"/>
              </w:rPr>
              <w:t>25 ft.</w:t>
            </w:r>
          </w:p>
        </w:tc>
        <w:tc>
          <w:tcPr>
            <w:tcW w:w="2191" w:type="dxa"/>
            <w:tcBorders>
              <w:left w:val="double" w:sz="4" w:space="0" w:color="auto"/>
              <w:right w:val="double" w:sz="4" w:space="0" w:color="auto"/>
            </w:tcBorders>
            <w:vAlign w:val="center"/>
          </w:tcPr>
          <w:p w14:paraId="31DE0248" w14:textId="77777777" w:rsidR="00897FF5" w:rsidRPr="00897FF5" w:rsidRDefault="00897FF5" w:rsidP="00897FF5">
            <w:pPr>
              <w:tabs>
                <w:tab w:val="left" w:pos="360"/>
                <w:tab w:val="left" w:pos="720"/>
                <w:tab w:val="left" w:pos="1080"/>
                <w:tab w:val="left" w:pos="1440"/>
                <w:tab w:val="left" w:pos="1800"/>
                <w:tab w:val="left" w:pos="2160"/>
              </w:tabs>
              <w:spacing w:after="0"/>
              <w:jc w:val="center"/>
              <w:rPr>
                <w:rFonts w:ascii="Calibri" w:eastAsia="Aptos" w:hAnsi="Calibri" w:cs="Times New Roman"/>
              </w:rPr>
            </w:pPr>
            <w:r w:rsidRPr="00897FF5">
              <w:rPr>
                <w:rFonts w:ascii="Calibri" w:eastAsia="Aptos" w:hAnsi="Calibri" w:cs="Times New Roman"/>
              </w:rPr>
              <w:t>50% (25 ft.)</w:t>
            </w:r>
          </w:p>
        </w:tc>
      </w:tr>
      <w:tr w:rsidR="00897FF5" w:rsidRPr="00897FF5" w14:paraId="09414133" w14:textId="77777777" w:rsidTr="00C275EB">
        <w:trPr>
          <w:trHeight w:val="427"/>
          <w:jc w:val="center"/>
        </w:trPr>
        <w:tc>
          <w:tcPr>
            <w:tcW w:w="2696" w:type="dxa"/>
            <w:tcBorders>
              <w:left w:val="double" w:sz="4" w:space="0" w:color="auto"/>
              <w:right w:val="double" w:sz="4" w:space="0" w:color="auto"/>
            </w:tcBorders>
            <w:shd w:val="clear" w:color="auto" w:fill="E0E0E0"/>
            <w:vAlign w:val="center"/>
          </w:tcPr>
          <w:p w14:paraId="7DDF5E2E" w14:textId="77777777" w:rsidR="00897FF5" w:rsidRPr="00897FF5" w:rsidRDefault="00897FF5" w:rsidP="00897FF5">
            <w:pPr>
              <w:tabs>
                <w:tab w:val="left" w:pos="360"/>
                <w:tab w:val="left" w:pos="720"/>
                <w:tab w:val="left" w:pos="1080"/>
                <w:tab w:val="left" w:pos="1440"/>
                <w:tab w:val="left" w:pos="1800"/>
                <w:tab w:val="left" w:pos="2160"/>
              </w:tabs>
              <w:spacing w:after="0"/>
              <w:jc w:val="center"/>
              <w:rPr>
                <w:rFonts w:ascii="Calibri" w:eastAsia="Aptos" w:hAnsi="Calibri" w:cs="Times New Roman"/>
              </w:rPr>
            </w:pPr>
            <w:r w:rsidRPr="00897FF5">
              <w:rPr>
                <w:rFonts w:ascii="Calibri" w:eastAsia="Aptos" w:hAnsi="Calibri" w:cs="Times New Roman"/>
              </w:rPr>
              <w:t>Maximum Lot Coverage</w:t>
            </w:r>
          </w:p>
        </w:tc>
        <w:tc>
          <w:tcPr>
            <w:tcW w:w="1867" w:type="dxa"/>
            <w:tcBorders>
              <w:left w:val="double" w:sz="4" w:space="0" w:color="auto"/>
              <w:right w:val="double" w:sz="4" w:space="0" w:color="auto"/>
            </w:tcBorders>
            <w:vAlign w:val="center"/>
          </w:tcPr>
          <w:p w14:paraId="7D2D1506" w14:textId="77777777" w:rsidR="00897FF5" w:rsidRPr="00897FF5" w:rsidRDefault="00897FF5" w:rsidP="00897FF5">
            <w:pPr>
              <w:tabs>
                <w:tab w:val="left" w:pos="360"/>
                <w:tab w:val="left" w:pos="720"/>
                <w:tab w:val="left" w:pos="1080"/>
                <w:tab w:val="left" w:pos="1440"/>
                <w:tab w:val="left" w:pos="1800"/>
                <w:tab w:val="left" w:pos="2160"/>
              </w:tabs>
              <w:spacing w:after="0"/>
              <w:jc w:val="center"/>
              <w:rPr>
                <w:rFonts w:ascii="Calibri" w:eastAsia="Aptos" w:hAnsi="Calibri" w:cs="Times New Roman"/>
              </w:rPr>
            </w:pPr>
            <w:r w:rsidRPr="00897FF5">
              <w:rPr>
                <w:rFonts w:ascii="Calibri" w:eastAsia="Aptos" w:hAnsi="Calibri" w:cs="Times New Roman"/>
              </w:rPr>
              <w:t>25%</w:t>
            </w:r>
          </w:p>
        </w:tc>
        <w:tc>
          <w:tcPr>
            <w:tcW w:w="1651" w:type="dxa"/>
            <w:tcBorders>
              <w:left w:val="double" w:sz="4" w:space="0" w:color="auto"/>
              <w:right w:val="double" w:sz="4" w:space="0" w:color="auto"/>
            </w:tcBorders>
            <w:vAlign w:val="center"/>
          </w:tcPr>
          <w:p w14:paraId="458C935F" w14:textId="77777777" w:rsidR="00897FF5" w:rsidRPr="00897FF5" w:rsidRDefault="00897FF5" w:rsidP="00897FF5">
            <w:pPr>
              <w:tabs>
                <w:tab w:val="left" w:pos="360"/>
                <w:tab w:val="left" w:pos="720"/>
                <w:tab w:val="left" w:pos="1080"/>
                <w:tab w:val="left" w:pos="1440"/>
                <w:tab w:val="left" w:pos="1800"/>
                <w:tab w:val="left" w:pos="2160"/>
              </w:tabs>
              <w:spacing w:after="0"/>
              <w:jc w:val="center"/>
              <w:rPr>
                <w:rFonts w:ascii="Calibri" w:eastAsia="Aptos" w:hAnsi="Calibri" w:cs="Times New Roman"/>
              </w:rPr>
            </w:pPr>
            <w:r w:rsidRPr="00897FF5">
              <w:rPr>
                <w:rFonts w:ascii="Calibri" w:eastAsia="Aptos" w:hAnsi="Calibri" w:cs="Times New Roman"/>
              </w:rPr>
              <w:t>26.25%</w:t>
            </w:r>
          </w:p>
        </w:tc>
        <w:tc>
          <w:tcPr>
            <w:tcW w:w="2191" w:type="dxa"/>
            <w:tcBorders>
              <w:left w:val="double" w:sz="4" w:space="0" w:color="auto"/>
              <w:right w:val="double" w:sz="4" w:space="0" w:color="auto"/>
            </w:tcBorders>
            <w:vAlign w:val="center"/>
          </w:tcPr>
          <w:p w14:paraId="3CFE77A8" w14:textId="77777777" w:rsidR="00897FF5" w:rsidRPr="00897FF5" w:rsidRDefault="00897FF5" w:rsidP="00897FF5">
            <w:pPr>
              <w:tabs>
                <w:tab w:val="left" w:pos="360"/>
                <w:tab w:val="left" w:pos="720"/>
                <w:tab w:val="left" w:pos="1080"/>
                <w:tab w:val="left" w:pos="1440"/>
                <w:tab w:val="left" w:pos="1800"/>
                <w:tab w:val="left" w:pos="2160"/>
              </w:tabs>
              <w:spacing w:after="0"/>
              <w:jc w:val="center"/>
              <w:rPr>
                <w:rFonts w:ascii="Calibri" w:eastAsia="Aptos" w:hAnsi="Calibri" w:cs="Times New Roman"/>
              </w:rPr>
            </w:pPr>
            <w:r w:rsidRPr="00897FF5">
              <w:rPr>
                <w:rFonts w:ascii="Calibri" w:eastAsia="Aptos" w:hAnsi="Calibri" w:cs="Times New Roman"/>
              </w:rPr>
              <w:t>5%</w:t>
            </w:r>
          </w:p>
        </w:tc>
      </w:tr>
      <w:tr w:rsidR="00897FF5" w:rsidRPr="00897FF5" w14:paraId="341F5A4C" w14:textId="77777777" w:rsidTr="00C275EB">
        <w:trPr>
          <w:trHeight w:val="535"/>
          <w:jc w:val="center"/>
        </w:trPr>
        <w:tc>
          <w:tcPr>
            <w:tcW w:w="2696" w:type="dxa"/>
            <w:tcBorders>
              <w:left w:val="double" w:sz="4" w:space="0" w:color="auto"/>
              <w:right w:val="double" w:sz="4" w:space="0" w:color="auto"/>
            </w:tcBorders>
            <w:shd w:val="clear" w:color="auto" w:fill="E0E0E0"/>
            <w:vAlign w:val="center"/>
          </w:tcPr>
          <w:p w14:paraId="276EFAD9" w14:textId="77777777" w:rsidR="00897FF5" w:rsidRPr="00897FF5" w:rsidRDefault="00897FF5" w:rsidP="00897FF5">
            <w:pPr>
              <w:tabs>
                <w:tab w:val="left" w:pos="360"/>
                <w:tab w:val="left" w:pos="720"/>
                <w:tab w:val="left" w:pos="1080"/>
                <w:tab w:val="left" w:pos="1440"/>
                <w:tab w:val="left" w:pos="1800"/>
                <w:tab w:val="left" w:pos="2160"/>
              </w:tabs>
              <w:spacing w:after="0"/>
              <w:jc w:val="center"/>
              <w:rPr>
                <w:rFonts w:ascii="Calibri" w:eastAsia="Aptos" w:hAnsi="Calibri" w:cs="Times New Roman"/>
              </w:rPr>
            </w:pPr>
            <w:r w:rsidRPr="00897FF5">
              <w:rPr>
                <w:rFonts w:ascii="Calibri" w:eastAsia="Aptos" w:hAnsi="Calibri" w:cs="Times New Roman"/>
              </w:rPr>
              <w:t>Minimum Front Yard</w:t>
            </w:r>
          </w:p>
        </w:tc>
        <w:tc>
          <w:tcPr>
            <w:tcW w:w="1867" w:type="dxa"/>
            <w:tcBorders>
              <w:left w:val="double" w:sz="4" w:space="0" w:color="auto"/>
              <w:right w:val="double" w:sz="4" w:space="0" w:color="auto"/>
            </w:tcBorders>
            <w:vAlign w:val="center"/>
          </w:tcPr>
          <w:p w14:paraId="679A2EF2" w14:textId="77777777" w:rsidR="00897FF5" w:rsidRPr="00897FF5" w:rsidRDefault="00897FF5" w:rsidP="00897FF5">
            <w:pPr>
              <w:tabs>
                <w:tab w:val="left" w:pos="360"/>
                <w:tab w:val="left" w:pos="720"/>
                <w:tab w:val="left" w:pos="1080"/>
                <w:tab w:val="left" w:pos="1440"/>
                <w:tab w:val="left" w:pos="1800"/>
                <w:tab w:val="left" w:pos="2160"/>
              </w:tabs>
              <w:spacing w:after="0"/>
              <w:jc w:val="center"/>
              <w:rPr>
                <w:rFonts w:ascii="Calibri" w:eastAsia="Aptos" w:hAnsi="Calibri" w:cs="Times New Roman"/>
              </w:rPr>
            </w:pPr>
            <w:r w:rsidRPr="00897FF5">
              <w:rPr>
                <w:rFonts w:ascii="Calibri" w:eastAsia="Aptos" w:hAnsi="Calibri" w:cs="Times New Roman"/>
              </w:rPr>
              <w:t>30 ft.</w:t>
            </w:r>
          </w:p>
        </w:tc>
        <w:tc>
          <w:tcPr>
            <w:tcW w:w="1651" w:type="dxa"/>
            <w:tcBorders>
              <w:left w:val="double" w:sz="4" w:space="0" w:color="auto"/>
              <w:right w:val="double" w:sz="4" w:space="0" w:color="auto"/>
            </w:tcBorders>
            <w:vAlign w:val="center"/>
          </w:tcPr>
          <w:p w14:paraId="2107EB22" w14:textId="77777777" w:rsidR="00897FF5" w:rsidRPr="00897FF5" w:rsidRDefault="00897FF5" w:rsidP="00897FF5">
            <w:pPr>
              <w:tabs>
                <w:tab w:val="left" w:pos="360"/>
                <w:tab w:val="left" w:pos="720"/>
                <w:tab w:val="left" w:pos="1080"/>
                <w:tab w:val="left" w:pos="1440"/>
                <w:tab w:val="left" w:pos="1800"/>
                <w:tab w:val="left" w:pos="2160"/>
              </w:tabs>
              <w:spacing w:after="0"/>
              <w:jc w:val="center"/>
              <w:rPr>
                <w:rFonts w:ascii="Calibri" w:eastAsia="Aptos" w:hAnsi="Calibri" w:cs="Times New Roman"/>
              </w:rPr>
            </w:pPr>
            <w:r w:rsidRPr="00897FF5">
              <w:rPr>
                <w:rFonts w:ascii="Calibri" w:eastAsia="Aptos" w:hAnsi="Calibri" w:cs="Times New Roman"/>
              </w:rPr>
              <w:t>20 ft.</w:t>
            </w:r>
          </w:p>
        </w:tc>
        <w:tc>
          <w:tcPr>
            <w:tcW w:w="2191" w:type="dxa"/>
            <w:tcBorders>
              <w:left w:val="double" w:sz="4" w:space="0" w:color="auto"/>
              <w:right w:val="double" w:sz="4" w:space="0" w:color="auto"/>
            </w:tcBorders>
            <w:vAlign w:val="center"/>
          </w:tcPr>
          <w:p w14:paraId="47D43C6F" w14:textId="77777777" w:rsidR="00897FF5" w:rsidRPr="00897FF5" w:rsidRDefault="00897FF5" w:rsidP="00897FF5">
            <w:pPr>
              <w:tabs>
                <w:tab w:val="left" w:pos="360"/>
                <w:tab w:val="left" w:pos="720"/>
                <w:tab w:val="left" w:pos="1080"/>
                <w:tab w:val="left" w:pos="1440"/>
                <w:tab w:val="left" w:pos="1800"/>
                <w:tab w:val="left" w:pos="2160"/>
              </w:tabs>
              <w:spacing w:after="0"/>
              <w:jc w:val="center"/>
              <w:rPr>
                <w:rFonts w:ascii="Calibri" w:eastAsia="Aptos" w:hAnsi="Calibri" w:cs="Times New Roman"/>
              </w:rPr>
            </w:pPr>
            <w:r w:rsidRPr="00897FF5">
              <w:rPr>
                <w:rFonts w:ascii="Calibri" w:eastAsia="Aptos" w:hAnsi="Calibri" w:cs="Times New Roman"/>
              </w:rPr>
              <w:t>33% (10 ft.)</w:t>
            </w:r>
          </w:p>
        </w:tc>
      </w:tr>
      <w:tr w:rsidR="00897FF5" w:rsidRPr="00897FF5" w14:paraId="0B97863F" w14:textId="77777777" w:rsidTr="00C275EB">
        <w:trPr>
          <w:trHeight w:val="427"/>
          <w:jc w:val="center"/>
        </w:trPr>
        <w:tc>
          <w:tcPr>
            <w:tcW w:w="2696" w:type="dxa"/>
            <w:tcBorders>
              <w:left w:val="double" w:sz="4" w:space="0" w:color="auto"/>
              <w:right w:val="double" w:sz="4" w:space="0" w:color="auto"/>
            </w:tcBorders>
            <w:shd w:val="clear" w:color="auto" w:fill="E0E0E0"/>
            <w:vAlign w:val="center"/>
          </w:tcPr>
          <w:p w14:paraId="31D7E5A2" w14:textId="77777777" w:rsidR="00897FF5" w:rsidRPr="00897FF5" w:rsidRDefault="00897FF5" w:rsidP="00897FF5">
            <w:pPr>
              <w:tabs>
                <w:tab w:val="left" w:pos="360"/>
                <w:tab w:val="left" w:pos="720"/>
                <w:tab w:val="left" w:pos="1080"/>
                <w:tab w:val="left" w:pos="1440"/>
                <w:tab w:val="left" w:pos="1800"/>
                <w:tab w:val="left" w:pos="2160"/>
              </w:tabs>
              <w:spacing w:after="0" w:line="240" w:lineRule="auto"/>
              <w:jc w:val="center"/>
              <w:rPr>
                <w:rFonts w:ascii="Calibri" w:eastAsia="Aptos" w:hAnsi="Calibri" w:cs="Times New Roman"/>
              </w:rPr>
            </w:pPr>
            <w:r w:rsidRPr="00897FF5">
              <w:rPr>
                <w:rFonts w:ascii="Calibri" w:eastAsia="Aptos" w:hAnsi="Calibri" w:cs="Times New Roman"/>
              </w:rPr>
              <w:t>Minimum Side Yard</w:t>
            </w:r>
          </w:p>
          <w:p w14:paraId="42915164" w14:textId="77777777" w:rsidR="00897FF5" w:rsidRPr="00897FF5" w:rsidRDefault="00897FF5" w:rsidP="00897FF5">
            <w:pPr>
              <w:tabs>
                <w:tab w:val="left" w:pos="360"/>
                <w:tab w:val="left" w:pos="720"/>
                <w:tab w:val="left" w:pos="1080"/>
                <w:tab w:val="left" w:pos="1440"/>
                <w:tab w:val="left" w:pos="1800"/>
                <w:tab w:val="left" w:pos="2160"/>
              </w:tabs>
              <w:spacing w:after="0" w:line="240" w:lineRule="auto"/>
              <w:jc w:val="center"/>
              <w:rPr>
                <w:rFonts w:ascii="Calibri" w:eastAsia="Aptos" w:hAnsi="Calibri" w:cs="Times New Roman"/>
              </w:rPr>
            </w:pPr>
            <w:r w:rsidRPr="00897FF5">
              <w:rPr>
                <w:rFonts w:ascii="Calibri" w:eastAsia="Aptos" w:hAnsi="Calibri" w:cs="Times New Roman"/>
              </w:rPr>
              <w:t>(South Side)</w:t>
            </w:r>
          </w:p>
        </w:tc>
        <w:tc>
          <w:tcPr>
            <w:tcW w:w="1867" w:type="dxa"/>
            <w:tcBorders>
              <w:left w:val="double" w:sz="4" w:space="0" w:color="auto"/>
              <w:right w:val="double" w:sz="4" w:space="0" w:color="auto"/>
            </w:tcBorders>
            <w:vAlign w:val="center"/>
          </w:tcPr>
          <w:p w14:paraId="5BEC457D" w14:textId="77777777" w:rsidR="00897FF5" w:rsidRPr="00897FF5" w:rsidRDefault="00897FF5" w:rsidP="00897FF5">
            <w:pPr>
              <w:tabs>
                <w:tab w:val="left" w:pos="360"/>
                <w:tab w:val="left" w:pos="720"/>
                <w:tab w:val="left" w:pos="1080"/>
                <w:tab w:val="left" w:pos="1440"/>
                <w:tab w:val="left" w:pos="1800"/>
                <w:tab w:val="left" w:pos="2160"/>
              </w:tabs>
              <w:jc w:val="center"/>
              <w:rPr>
                <w:rFonts w:ascii="Calibri" w:eastAsia="Aptos" w:hAnsi="Calibri" w:cs="Times New Roman"/>
              </w:rPr>
            </w:pPr>
            <w:r w:rsidRPr="00897FF5">
              <w:rPr>
                <w:rFonts w:ascii="Calibri" w:eastAsia="Aptos" w:hAnsi="Calibri" w:cs="Times New Roman"/>
              </w:rPr>
              <w:t>5 ft.</w:t>
            </w:r>
          </w:p>
        </w:tc>
        <w:tc>
          <w:tcPr>
            <w:tcW w:w="1651" w:type="dxa"/>
            <w:tcBorders>
              <w:left w:val="double" w:sz="4" w:space="0" w:color="auto"/>
              <w:right w:val="double" w:sz="4" w:space="0" w:color="auto"/>
            </w:tcBorders>
            <w:vAlign w:val="center"/>
          </w:tcPr>
          <w:p w14:paraId="1232B649" w14:textId="77777777" w:rsidR="00897FF5" w:rsidRPr="00897FF5" w:rsidRDefault="00897FF5" w:rsidP="00897FF5">
            <w:pPr>
              <w:tabs>
                <w:tab w:val="left" w:pos="360"/>
                <w:tab w:val="left" w:pos="720"/>
                <w:tab w:val="left" w:pos="1080"/>
                <w:tab w:val="left" w:pos="1440"/>
                <w:tab w:val="left" w:pos="1800"/>
                <w:tab w:val="left" w:pos="2160"/>
              </w:tabs>
              <w:spacing w:after="0"/>
              <w:jc w:val="center"/>
              <w:rPr>
                <w:rFonts w:ascii="Calibri" w:eastAsia="Aptos" w:hAnsi="Calibri" w:cs="Times New Roman"/>
                <w:sz w:val="20"/>
                <w:szCs w:val="20"/>
              </w:rPr>
            </w:pPr>
            <w:r w:rsidRPr="00897FF5">
              <w:rPr>
                <w:rFonts w:ascii="Calibri" w:eastAsia="Aptos" w:hAnsi="Calibri" w:cs="Times New Roman"/>
                <w:sz w:val="20"/>
                <w:szCs w:val="20"/>
              </w:rPr>
              <w:t>From Shed: 2.4  Concrete Pad: 1.9</w:t>
            </w:r>
          </w:p>
        </w:tc>
        <w:tc>
          <w:tcPr>
            <w:tcW w:w="2191" w:type="dxa"/>
            <w:tcBorders>
              <w:left w:val="double" w:sz="4" w:space="0" w:color="auto"/>
              <w:right w:val="double" w:sz="4" w:space="0" w:color="auto"/>
            </w:tcBorders>
            <w:vAlign w:val="center"/>
          </w:tcPr>
          <w:p w14:paraId="3E87DB3F" w14:textId="77777777" w:rsidR="00897FF5" w:rsidRPr="00897FF5" w:rsidRDefault="00897FF5" w:rsidP="00897FF5">
            <w:pPr>
              <w:tabs>
                <w:tab w:val="left" w:pos="360"/>
                <w:tab w:val="left" w:pos="720"/>
                <w:tab w:val="left" w:pos="1080"/>
                <w:tab w:val="left" w:pos="1440"/>
                <w:tab w:val="left" w:pos="1800"/>
                <w:tab w:val="left" w:pos="2160"/>
              </w:tabs>
              <w:spacing w:after="0"/>
              <w:jc w:val="center"/>
              <w:rPr>
                <w:rFonts w:ascii="Calibri" w:eastAsia="Aptos" w:hAnsi="Calibri" w:cs="Times New Roman"/>
                <w:sz w:val="20"/>
                <w:szCs w:val="20"/>
              </w:rPr>
            </w:pPr>
            <w:r w:rsidRPr="00897FF5">
              <w:rPr>
                <w:rFonts w:ascii="Calibri" w:eastAsia="Aptos" w:hAnsi="Calibri" w:cs="Times New Roman"/>
                <w:sz w:val="20"/>
                <w:szCs w:val="20"/>
              </w:rPr>
              <w:t>Shed: 52% (2.6)</w:t>
            </w:r>
          </w:p>
          <w:p w14:paraId="7CF2D9B9" w14:textId="77777777" w:rsidR="00897FF5" w:rsidRPr="00897FF5" w:rsidRDefault="00897FF5" w:rsidP="00897FF5">
            <w:pPr>
              <w:tabs>
                <w:tab w:val="left" w:pos="360"/>
                <w:tab w:val="left" w:pos="720"/>
                <w:tab w:val="left" w:pos="1080"/>
                <w:tab w:val="left" w:pos="1440"/>
                <w:tab w:val="left" w:pos="1800"/>
                <w:tab w:val="left" w:pos="2160"/>
              </w:tabs>
              <w:spacing w:after="0"/>
              <w:jc w:val="center"/>
              <w:rPr>
                <w:rFonts w:ascii="Calibri" w:eastAsia="Aptos" w:hAnsi="Calibri" w:cs="Times New Roman"/>
                <w:sz w:val="20"/>
                <w:szCs w:val="20"/>
              </w:rPr>
            </w:pPr>
            <w:r w:rsidRPr="00897FF5">
              <w:rPr>
                <w:rFonts w:ascii="Calibri" w:eastAsia="Aptos" w:hAnsi="Calibri" w:cs="Times New Roman"/>
                <w:sz w:val="20"/>
                <w:szCs w:val="20"/>
              </w:rPr>
              <w:t>Concrete Pad: 62% (3.1)</w:t>
            </w:r>
          </w:p>
        </w:tc>
      </w:tr>
    </w:tbl>
    <w:p w14:paraId="4F05D210" w14:textId="77777777" w:rsidR="00897FF5" w:rsidRPr="00897FF5" w:rsidRDefault="00897FF5" w:rsidP="00897FF5">
      <w:pPr>
        <w:widowControl w:val="0"/>
        <w:tabs>
          <w:tab w:val="left" w:pos="360"/>
          <w:tab w:val="left" w:pos="720"/>
          <w:tab w:val="left" w:pos="1080"/>
          <w:tab w:val="left" w:pos="1440"/>
          <w:tab w:val="left" w:pos="1800"/>
          <w:tab w:val="left" w:pos="2160"/>
        </w:tabs>
        <w:jc w:val="both"/>
        <w:rPr>
          <w:rFonts w:ascii="Calibri" w:eastAsia="Aptos" w:hAnsi="Calibri" w:cs="Times New Roman"/>
          <w:snapToGrid w:val="0"/>
          <w:color w:val="EE0000"/>
          <w:sz w:val="22"/>
          <w:szCs w:val="22"/>
        </w:rPr>
      </w:pPr>
      <w:r w:rsidRPr="00897FF5">
        <w:rPr>
          <w:rFonts w:ascii="Calibri" w:eastAsia="Aptos" w:hAnsi="Calibri" w:cs="Times New Roman"/>
          <w:snapToGrid w:val="0"/>
          <w:color w:val="EE0000"/>
          <w:sz w:val="22"/>
          <w:szCs w:val="22"/>
        </w:rPr>
        <w:tab/>
      </w:r>
    </w:p>
    <w:p w14:paraId="2D588BFA"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sz w:val="22"/>
          <w:szCs w:val="22"/>
        </w:rPr>
        <w:t>The Applicant is required to obtain all variances requested in both the initial June 2025 application and the current January 2026 reapplication, including those for lot area, lot width, lot coverage, front yard, and multiple measurements for the south side yard (from both the shed and concrete pad).</w:t>
      </w:r>
    </w:p>
    <w:p w14:paraId="38FEB955" w14:textId="77777777" w:rsidR="00897FF5" w:rsidRPr="00897FF5" w:rsidRDefault="00897FF5" w:rsidP="00897FF5">
      <w:pPr>
        <w:spacing w:after="0" w:line="240" w:lineRule="auto"/>
        <w:jc w:val="both"/>
        <w:rPr>
          <w:rFonts w:ascii="Aptos" w:eastAsia="Aptos" w:hAnsi="Aptos" w:cs="Times New Roman"/>
          <w:sz w:val="22"/>
          <w:szCs w:val="22"/>
        </w:rPr>
      </w:pPr>
    </w:p>
    <w:p w14:paraId="1F18BE9C"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sz w:val="22"/>
          <w:szCs w:val="22"/>
        </w:rPr>
        <w:t xml:space="preserve">The property is also subject to a sanitary sewer easement granted to the South Chautauqua Lake Sewer District (now part of the South &amp; Center Chautauqua Lake Sewer Districts) on July 9, 1984. The easement includes a 10-foot-wide permanent easement centered along the vacuum lateral, extending northerly from the vacuum valve pit, as well as a 3-foot-wide permanent easement along the north property line and temporary easements for construction and repair. A letter dated January 28, 2026, from the Districts’ Engineer, Bryan Wilson, notes that the structure encroaches upon the easement, is inches from the manhole for the vacuum valve pit, and sits atop the permanent easement. </w:t>
      </w:r>
    </w:p>
    <w:p w14:paraId="13551A27" w14:textId="77777777" w:rsidR="00897FF5" w:rsidRPr="00897FF5" w:rsidRDefault="00897FF5" w:rsidP="00897FF5">
      <w:pPr>
        <w:spacing w:after="0" w:line="240" w:lineRule="auto"/>
        <w:jc w:val="both"/>
        <w:rPr>
          <w:rFonts w:ascii="Aptos" w:eastAsia="Aptos" w:hAnsi="Aptos" w:cs="Times New Roman"/>
          <w:sz w:val="22"/>
          <w:szCs w:val="22"/>
        </w:rPr>
      </w:pPr>
    </w:p>
    <w:p w14:paraId="42D8F57A"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sz w:val="22"/>
          <w:szCs w:val="22"/>
        </w:rPr>
        <w:t>The ZBA held a public hearing on the reapplication on January 28, 2026, and considered all submissions, including the Applicant’s letter dated January 11, 2026 and letters from neighbors. The record includes all oral arguments, letters, and submissions made to the ZBA, including those from the public hearing and any other documents incorporated by specific reference during the hearing or herein.</w:t>
      </w:r>
    </w:p>
    <w:p w14:paraId="184E22B6" w14:textId="77777777" w:rsidR="00897FF5" w:rsidRPr="00897FF5" w:rsidRDefault="00897FF5" w:rsidP="00897FF5">
      <w:pPr>
        <w:spacing w:after="0" w:line="240" w:lineRule="auto"/>
        <w:jc w:val="both"/>
        <w:rPr>
          <w:rFonts w:ascii="Aptos" w:eastAsia="Aptos" w:hAnsi="Aptos" w:cs="Times New Roman"/>
          <w:sz w:val="22"/>
          <w:szCs w:val="22"/>
        </w:rPr>
      </w:pPr>
    </w:p>
    <w:p w14:paraId="08966E59" w14:textId="77777777" w:rsidR="00897FF5" w:rsidRPr="00897FF5" w:rsidRDefault="00897FF5" w:rsidP="00897FF5">
      <w:pPr>
        <w:spacing w:after="0" w:line="240" w:lineRule="auto"/>
        <w:jc w:val="both"/>
        <w:rPr>
          <w:rFonts w:ascii="Aptos" w:eastAsia="Aptos" w:hAnsi="Aptos" w:cs="Times New Roman"/>
          <w:sz w:val="22"/>
          <w:szCs w:val="22"/>
        </w:rPr>
      </w:pPr>
    </w:p>
    <w:p w14:paraId="0E13F1BA" w14:textId="77777777" w:rsidR="00897FF5" w:rsidRPr="00897FF5" w:rsidRDefault="00897FF5" w:rsidP="00897FF5">
      <w:pPr>
        <w:spacing w:after="0" w:line="240" w:lineRule="auto"/>
        <w:jc w:val="center"/>
        <w:rPr>
          <w:rFonts w:ascii="Aptos" w:eastAsia="Aptos" w:hAnsi="Aptos" w:cs="Times New Roman"/>
          <w:b/>
          <w:bCs/>
          <w:sz w:val="22"/>
          <w:szCs w:val="22"/>
        </w:rPr>
      </w:pPr>
      <w:r w:rsidRPr="00897FF5">
        <w:rPr>
          <w:rFonts w:ascii="Aptos" w:eastAsia="Aptos" w:hAnsi="Aptos" w:cs="Times New Roman"/>
          <w:b/>
          <w:bCs/>
          <w:sz w:val="22"/>
          <w:szCs w:val="22"/>
        </w:rPr>
        <w:t>AREA VARIANCE FINDINGS</w:t>
      </w:r>
    </w:p>
    <w:p w14:paraId="2E2D1230" w14:textId="77777777" w:rsidR="00897FF5" w:rsidRPr="00897FF5" w:rsidRDefault="00897FF5" w:rsidP="00897FF5">
      <w:pPr>
        <w:spacing w:after="0" w:line="240" w:lineRule="auto"/>
        <w:jc w:val="both"/>
        <w:rPr>
          <w:rFonts w:ascii="Aptos" w:eastAsia="Aptos" w:hAnsi="Aptos" w:cs="Times New Roman"/>
          <w:sz w:val="22"/>
          <w:szCs w:val="22"/>
        </w:rPr>
      </w:pPr>
    </w:p>
    <w:p w14:paraId="121F75F6"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sz w:val="22"/>
          <w:szCs w:val="22"/>
        </w:rPr>
        <w:t>The Zoning Board of Appeals (“ZBA”) in acting on this variance application is obliged to reach its decision by applying the facts found in the record against the Town of Busti Zoning Code and Sections 267-a and 267-b (1) (3) and (4) of the Town Law.</w:t>
      </w:r>
    </w:p>
    <w:p w14:paraId="5BFD0C86" w14:textId="77777777" w:rsidR="00897FF5" w:rsidRPr="00897FF5" w:rsidRDefault="00897FF5" w:rsidP="00897FF5">
      <w:pPr>
        <w:spacing w:after="0" w:line="240" w:lineRule="auto"/>
        <w:jc w:val="both"/>
        <w:rPr>
          <w:rFonts w:ascii="Aptos" w:eastAsia="Aptos" w:hAnsi="Aptos" w:cs="Times New Roman"/>
          <w:sz w:val="22"/>
          <w:szCs w:val="22"/>
        </w:rPr>
      </w:pPr>
    </w:p>
    <w:p w14:paraId="15D64653"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sz w:val="22"/>
          <w:szCs w:val="22"/>
        </w:rPr>
        <w:t>New York Town Law §267-b(3)(b) and Town of Busti Zoning Code §405-1304(C) require that the ZBA perform a balancing analysis of any application for area variances that considers the benefit to the applicant if the variances are granted, as weighed against the detriment to the health, safety, and welfare of the neighborhood or community the variances would cause.</w:t>
      </w:r>
    </w:p>
    <w:p w14:paraId="5854A93B" w14:textId="77777777" w:rsidR="00897FF5" w:rsidRPr="00897FF5" w:rsidRDefault="00897FF5" w:rsidP="00897FF5">
      <w:pPr>
        <w:spacing w:after="0" w:line="240" w:lineRule="auto"/>
        <w:jc w:val="both"/>
        <w:rPr>
          <w:rFonts w:ascii="Aptos" w:eastAsia="Aptos" w:hAnsi="Aptos" w:cs="Times New Roman"/>
          <w:sz w:val="22"/>
          <w:szCs w:val="22"/>
        </w:rPr>
      </w:pPr>
    </w:p>
    <w:p w14:paraId="42ED166C"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sz w:val="22"/>
          <w:szCs w:val="22"/>
        </w:rPr>
        <w:t>As part of this balancing analysis, the ZBA must consider the following questions:</w:t>
      </w:r>
    </w:p>
    <w:p w14:paraId="1C820CD8" w14:textId="77777777" w:rsidR="00897FF5" w:rsidRPr="00897FF5" w:rsidRDefault="00897FF5" w:rsidP="00897FF5">
      <w:pPr>
        <w:spacing w:after="0" w:line="240" w:lineRule="auto"/>
        <w:ind w:left="720"/>
        <w:jc w:val="both"/>
        <w:rPr>
          <w:rFonts w:ascii="Aptos" w:eastAsia="Aptos" w:hAnsi="Aptos" w:cs="Times New Roman"/>
          <w:sz w:val="22"/>
          <w:szCs w:val="22"/>
        </w:rPr>
      </w:pPr>
    </w:p>
    <w:p w14:paraId="44338B9E" w14:textId="77777777" w:rsidR="00897FF5" w:rsidRPr="00897FF5" w:rsidRDefault="00897FF5" w:rsidP="00897FF5">
      <w:pPr>
        <w:spacing w:after="0" w:line="240" w:lineRule="auto"/>
        <w:ind w:left="720"/>
        <w:jc w:val="both"/>
        <w:rPr>
          <w:rFonts w:ascii="Aptos" w:eastAsia="Aptos" w:hAnsi="Aptos" w:cs="Times New Roman"/>
          <w:sz w:val="22"/>
          <w:szCs w:val="22"/>
        </w:rPr>
      </w:pPr>
      <w:r w:rsidRPr="00897FF5">
        <w:rPr>
          <w:rFonts w:ascii="Aptos" w:eastAsia="Aptos" w:hAnsi="Aptos" w:cs="Times New Roman"/>
          <w:sz w:val="22"/>
          <w:szCs w:val="22"/>
        </w:rPr>
        <w:t>A.</w:t>
      </w:r>
      <w:r w:rsidRPr="00897FF5">
        <w:rPr>
          <w:rFonts w:ascii="Aptos" w:eastAsia="Aptos" w:hAnsi="Aptos" w:cs="Times New Roman"/>
          <w:sz w:val="22"/>
          <w:szCs w:val="22"/>
        </w:rPr>
        <w:tab/>
        <w:t>Whether an undesirable change would be produced in the character of the neighborhood or a detriment to nearby properties would be created by the granting of the area variance;</w:t>
      </w:r>
    </w:p>
    <w:p w14:paraId="087FFB60" w14:textId="77777777" w:rsidR="00897FF5" w:rsidRPr="00897FF5" w:rsidRDefault="00897FF5" w:rsidP="00897FF5">
      <w:pPr>
        <w:spacing w:after="0" w:line="240" w:lineRule="auto"/>
        <w:jc w:val="both"/>
        <w:rPr>
          <w:rFonts w:ascii="Aptos" w:eastAsia="Aptos" w:hAnsi="Aptos" w:cs="Times New Roman"/>
          <w:sz w:val="22"/>
          <w:szCs w:val="22"/>
        </w:rPr>
      </w:pPr>
    </w:p>
    <w:p w14:paraId="30DB5696" w14:textId="77777777" w:rsidR="00897FF5" w:rsidRPr="00897FF5" w:rsidRDefault="00897FF5" w:rsidP="00897FF5">
      <w:pPr>
        <w:spacing w:after="0" w:line="240" w:lineRule="auto"/>
        <w:ind w:left="720"/>
        <w:jc w:val="both"/>
        <w:rPr>
          <w:rFonts w:ascii="Aptos" w:eastAsia="Aptos" w:hAnsi="Aptos" w:cs="Times New Roman"/>
          <w:sz w:val="22"/>
          <w:szCs w:val="22"/>
        </w:rPr>
      </w:pPr>
      <w:r w:rsidRPr="00897FF5">
        <w:rPr>
          <w:rFonts w:ascii="Aptos" w:eastAsia="Aptos" w:hAnsi="Aptos" w:cs="Times New Roman"/>
          <w:sz w:val="22"/>
          <w:szCs w:val="22"/>
        </w:rPr>
        <w:t>B.</w:t>
      </w:r>
      <w:r w:rsidRPr="00897FF5">
        <w:rPr>
          <w:rFonts w:ascii="Aptos" w:eastAsia="Aptos" w:hAnsi="Aptos" w:cs="Times New Roman"/>
          <w:sz w:val="22"/>
          <w:szCs w:val="22"/>
        </w:rPr>
        <w:tab/>
        <w:t>Whether the benefit sought by the applicant can be achieved by some method, feasible for the applicant to pursue, other than an area variance;</w:t>
      </w:r>
    </w:p>
    <w:p w14:paraId="6995819F" w14:textId="77777777" w:rsidR="00897FF5" w:rsidRPr="00897FF5" w:rsidRDefault="00897FF5" w:rsidP="00897FF5">
      <w:pPr>
        <w:spacing w:after="0" w:line="240" w:lineRule="auto"/>
        <w:jc w:val="both"/>
        <w:rPr>
          <w:rFonts w:ascii="Aptos" w:eastAsia="Aptos" w:hAnsi="Aptos" w:cs="Times New Roman"/>
          <w:sz w:val="22"/>
          <w:szCs w:val="22"/>
        </w:rPr>
      </w:pPr>
    </w:p>
    <w:p w14:paraId="279A9564" w14:textId="77777777" w:rsidR="00897FF5" w:rsidRPr="00897FF5" w:rsidRDefault="00897FF5" w:rsidP="00897FF5">
      <w:pPr>
        <w:spacing w:after="0" w:line="240" w:lineRule="auto"/>
        <w:ind w:firstLine="720"/>
        <w:jc w:val="both"/>
        <w:rPr>
          <w:rFonts w:ascii="Aptos" w:eastAsia="Aptos" w:hAnsi="Aptos" w:cs="Times New Roman"/>
          <w:sz w:val="22"/>
          <w:szCs w:val="22"/>
        </w:rPr>
      </w:pPr>
      <w:r w:rsidRPr="00897FF5">
        <w:rPr>
          <w:rFonts w:ascii="Aptos" w:eastAsia="Aptos" w:hAnsi="Aptos" w:cs="Times New Roman"/>
          <w:sz w:val="22"/>
          <w:szCs w:val="22"/>
        </w:rPr>
        <w:t xml:space="preserve">C.  </w:t>
      </w:r>
      <w:r w:rsidRPr="00897FF5">
        <w:rPr>
          <w:rFonts w:ascii="Aptos" w:eastAsia="Aptos" w:hAnsi="Aptos" w:cs="Times New Roman"/>
          <w:sz w:val="22"/>
          <w:szCs w:val="22"/>
        </w:rPr>
        <w:tab/>
        <w:t>Whether the requested variances are substantial;</w:t>
      </w:r>
    </w:p>
    <w:p w14:paraId="7061F4FE" w14:textId="77777777" w:rsidR="00897FF5" w:rsidRPr="00897FF5" w:rsidRDefault="00897FF5" w:rsidP="00897FF5">
      <w:pPr>
        <w:spacing w:after="0" w:line="240" w:lineRule="auto"/>
        <w:jc w:val="both"/>
        <w:rPr>
          <w:rFonts w:ascii="Aptos" w:eastAsia="Aptos" w:hAnsi="Aptos" w:cs="Times New Roman"/>
          <w:sz w:val="22"/>
          <w:szCs w:val="22"/>
        </w:rPr>
      </w:pPr>
    </w:p>
    <w:p w14:paraId="7900A20A" w14:textId="77777777" w:rsidR="00897FF5" w:rsidRPr="00897FF5" w:rsidRDefault="00897FF5" w:rsidP="00897FF5">
      <w:pPr>
        <w:spacing w:after="0" w:line="240" w:lineRule="auto"/>
        <w:ind w:left="720"/>
        <w:jc w:val="both"/>
        <w:rPr>
          <w:rFonts w:ascii="Aptos" w:eastAsia="Aptos" w:hAnsi="Aptos" w:cs="Times New Roman"/>
          <w:sz w:val="22"/>
          <w:szCs w:val="22"/>
        </w:rPr>
      </w:pPr>
      <w:r w:rsidRPr="00897FF5">
        <w:rPr>
          <w:rFonts w:ascii="Aptos" w:eastAsia="Aptos" w:hAnsi="Aptos" w:cs="Times New Roman"/>
          <w:sz w:val="22"/>
          <w:szCs w:val="22"/>
        </w:rPr>
        <w:t>D.</w:t>
      </w:r>
      <w:r w:rsidRPr="00897FF5">
        <w:rPr>
          <w:rFonts w:ascii="Aptos" w:eastAsia="Aptos" w:hAnsi="Aptos" w:cs="Times New Roman"/>
          <w:sz w:val="22"/>
          <w:szCs w:val="22"/>
        </w:rPr>
        <w:tab/>
        <w:t>Whether the proposed variance will have an adverse effect or impact on the physical or environmental conditions in the neighborhood or district; and</w:t>
      </w:r>
    </w:p>
    <w:p w14:paraId="28555DE2" w14:textId="77777777" w:rsidR="00897FF5" w:rsidRPr="00897FF5" w:rsidRDefault="00897FF5" w:rsidP="00897FF5">
      <w:pPr>
        <w:spacing w:after="0" w:line="240" w:lineRule="auto"/>
        <w:jc w:val="both"/>
        <w:rPr>
          <w:rFonts w:ascii="Aptos" w:eastAsia="Aptos" w:hAnsi="Aptos" w:cs="Times New Roman"/>
          <w:sz w:val="22"/>
          <w:szCs w:val="22"/>
        </w:rPr>
      </w:pPr>
    </w:p>
    <w:p w14:paraId="6DFF7181" w14:textId="77777777" w:rsidR="00897FF5" w:rsidRPr="00897FF5" w:rsidRDefault="00897FF5" w:rsidP="00897FF5">
      <w:pPr>
        <w:spacing w:after="0" w:line="240" w:lineRule="auto"/>
        <w:ind w:firstLine="720"/>
        <w:jc w:val="both"/>
        <w:rPr>
          <w:rFonts w:ascii="Aptos" w:eastAsia="Aptos" w:hAnsi="Aptos" w:cs="Times New Roman"/>
          <w:sz w:val="22"/>
          <w:szCs w:val="22"/>
        </w:rPr>
      </w:pPr>
      <w:r w:rsidRPr="00897FF5">
        <w:rPr>
          <w:rFonts w:ascii="Aptos" w:eastAsia="Aptos" w:hAnsi="Aptos" w:cs="Times New Roman"/>
          <w:sz w:val="22"/>
          <w:szCs w:val="22"/>
        </w:rPr>
        <w:t xml:space="preserve">E.  </w:t>
      </w:r>
      <w:r w:rsidRPr="00897FF5">
        <w:rPr>
          <w:rFonts w:ascii="Aptos" w:eastAsia="Aptos" w:hAnsi="Aptos" w:cs="Times New Roman"/>
          <w:sz w:val="22"/>
          <w:szCs w:val="22"/>
        </w:rPr>
        <w:tab/>
        <w:t>Whether the alleged difficulty was self-created.</w:t>
      </w:r>
    </w:p>
    <w:p w14:paraId="7BB249DC" w14:textId="77777777" w:rsidR="00897FF5" w:rsidRPr="00897FF5" w:rsidRDefault="00897FF5" w:rsidP="00897FF5">
      <w:pPr>
        <w:spacing w:after="0" w:line="240" w:lineRule="auto"/>
        <w:jc w:val="both"/>
        <w:rPr>
          <w:rFonts w:ascii="Aptos" w:eastAsia="Aptos" w:hAnsi="Aptos" w:cs="Times New Roman"/>
          <w:sz w:val="22"/>
          <w:szCs w:val="22"/>
        </w:rPr>
      </w:pPr>
    </w:p>
    <w:p w14:paraId="01C881A0"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sz w:val="22"/>
          <w:szCs w:val="22"/>
        </w:rPr>
        <w:t>In the paragraphs that follow we will address each of those five factors with regard to the requested variances. Rather than analyze each variance individually we will take a holistic approach and look at what effects maintaining the structure would have on the neighboring properties and the community.</w:t>
      </w:r>
    </w:p>
    <w:p w14:paraId="04217E9E" w14:textId="77777777" w:rsidR="00897FF5" w:rsidRPr="00897FF5" w:rsidRDefault="00897FF5" w:rsidP="00897FF5">
      <w:pPr>
        <w:spacing w:after="0" w:line="240" w:lineRule="auto"/>
        <w:jc w:val="both"/>
        <w:rPr>
          <w:rFonts w:ascii="Aptos" w:eastAsia="Aptos" w:hAnsi="Aptos" w:cs="Times New Roman"/>
          <w:sz w:val="22"/>
          <w:szCs w:val="22"/>
        </w:rPr>
      </w:pPr>
    </w:p>
    <w:p w14:paraId="14031C51"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sz w:val="22"/>
          <w:szCs w:val="22"/>
        </w:rPr>
        <w:t>It should be noted at the outset that the subject property, like many in the Lakeshore Residential District, is nonconforming in terms of lot size and width due to historical development patterns predating current zoning requirements. The ZBA has granted variances for similar properties in the past where the requests were minimal and did not exacerbate safety or utility issues. However, this application involves a structure that pushes beyond typical accessory uses, with features suggesting it serves as an extension of the dwelling rather than mere storage.</w:t>
      </w:r>
    </w:p>
    <w:p w14:paraId="5661FA46" w14:textId="77777777" w:rsidR="00897FF5" w:rsidRPr="00897FF5" w:rsidRDefault="00897FF5" w:rsidP="00897FF5">
      <w:pPr>
        <w:spacing w:after="0" w:line="240" w:lineRule="auto"/>
        <w:jc w:val="both"/>
        <w:rPr>
          <w:rFonts w:ascii="Aptos" w:eastAsia="Aptos" w:hAnsi="Aptos" w:cs="Times New Roman"/>
          <w:sz w:val="22"/>
          <w:szCs w:val="22"/>
        </w:rPr>
      </w:pPr>
    </w:p>
    <w:p w14:paraId="07CB3C7E"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sz w:val="22"/>
          <w:szCs w:val="22"/>
        </w:rPr>
        <w:t>With regard to the factors of our balancing test:</w:t>
      </w:r>
    </w:p>
    <w:p w14:paraId="1ADC5C88" w14:textId="77777777" w:rsidR="00897FF5" w:rsidRPr="00897FF5" w:rsidRDefault="00897FF5" w:rsidP="00897FF5">
      <w:pPr>
        <w:spacing w:after="0" w:line="240" w:lineRule="auto"/>
        <w:jc w:val="both"/>
        <w:rPr>
          <w:rFonts w:ascii="Aptos" w:eastAsia="Aptos" w:hAnsi="Aptos" w:cs="Times New Roman"/>
          <w:sz w:val="22"/>
          <w:szCs w:val="22"/>
        </w:rPr>
      </w:pPr>
    </w:p>
    <w:p w14:paraId="12D68E13"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sz w:val="22"/>
          <w:szCs w:val="22"/>
        </w:rPr>
        <w:t>A.</w:t>
      </w:r>
      <w:r w:rsidRPr="00897FF5">
        <w:rPr>
          <w:rFonts w:ascii="Aptos" w:eastAsia="Aptos" w:hAnsi="Aptos" w:cs="Times New Roman"/>
          <w:b/>
          <w:bCs/>
          <w:sz w:val="22"/>
          <w:szCs w:val="22"/>
        </w:rPr>
        <w:tab/>
        <w:t>Character of Neighborhood.</w:t>
      </w:r>
      <w:r w:rsidRPr="00897FF5">
        <w:rPr>
          <w:rFonts w:ascii="Aptos" w:eastAsia="Aptos" w:hAnsi="Aptos" w:cs="Times New Roman"/>
          <w:sz w:val="22"/>
          <w:szCs w:val="22"/>
        </w:rPr>
        <w:t xml:space="preserve"> Granting the variances would produce an undesirable change in the character of the neighborhood. The area consists primarily of single-family residential lakefront and canal-front cottage homes, where accessory structures are typically basic sheds or garages for seasonal or recreational storage. The Applicant’s structure, with insulation, air-conditioning, man-doors, and a porch, </w:t>
      </w:r>
      <w:r w:rsidRPr="00897FF5">
        <w:rPr>
          <w:rFonts w:ascii="Aptos" w:eastAsia="Aptos" w:hAnsi="Aptos" w:cs="Times New Roman"/>
          <w:sz w:val="22"/>
          <w:szCs w:val="22"/>
        </w:rPr>
        <w:lastRenderedPageBreak/>
        <w:t>resembles a habitable addition more than a shed, potentially encouraging similar overdevelopments on small lots. This could alter the modest, recreational character of the lakeshore community, leading to increased density and commercialization through short-term rentals.</w:t>
      </w:r>
    </w:p>
    <w:p w14:paraId="4C151903" w14:textId="77777777" w:rsidR="00897FF5" w:rsidRPr="00897FF5" w:rsidRDefault="00897FF5" w:rsidP="00897FF5">
      <w:pPr>
        <w:spacing w:after="0" w:line="240" w:lineRule="auto"/>
        <w:jc w:val="both"/>
        <w:rPr>
          <w:rFonts w:ascii="Aptos" w:eastAsia="Aptos" w:hAnsi="Aptos" w:cs="Times New Roman"/>
          <w:sz w:val="22"/>
          <w:szCs w:val="22"/>
        </w:rPr>
      </w:pPr>
    </w:p>
    <w:p w14:paraId="606D6513"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sz w:val="22"/>
          <w:szCs w:val="22"/>
        </w:rPr>
        <w:t>B.</w:t>
      </w:r>
      <w:r w:rsidRPr="00897FF5">
        <w:rPr>
          <w:rFonts w:ascii="Aptos" w:eastAsia="Aptos" w:hAnsi="Aptos" w:cs="Times New Roman"/>
          <w:b/>
          <w:bCs/>
          <w:sz w:val="22"/>
          <w:szCs w:val="22"/>
        </w:rPr>
        <w:tab/>
        <w:t>Detriment to Nearby Properties:</w:t>
      </w:r>
      <w:r w:rsidRPr="00897FF5">
        <w:rPr>
          <w:rFonts w:ascii="Aptos" w:eastAsia="Aptos" w:hAnsi="Aptos" w:cs="Times New Roman"/>
          <w:sz w:val="22"/>
          <w:szCs w:val="22"/>
        </w:rPr>
        <w:t xml:space="preserve"> The structure creates a detriment to nearby properties by encroaching closely on the south side yard, reducing privacy and potentially impeding access for maintenance or emergencies. More critically, its placement inches from the sewer manhole and atop the Sewer Districts’ permanent easement poses risks to adjacent owners, as any repair work could disrupt the neighborhood. The Districts’ letter highlights the potential for interference, which could lead to costly disruptions or damage spillover to neighbors.</w:t>
      </w:r>
    </w:p>
    <w:p w14:paraId="5FCB73B3" w14:textId="77777777" w:rsidR="00897FF5" w:rsidRPr="00897FF5" w:rsidRDefault="00897FF5" w:rsidP="00897FF5">
      <w:pPr>
        <w:spacing w:after="0" w:line="240" w:lineRule="auto"/>
        <w:jc w:val="both"/>
        <w:rPr>
          <w:rFonts w:ascii="Aptos" w:eastAsia="Aptos" w:hAnsi="Aptos" w:cs="Times New Roman"/>
          <w:sz w:val="22"/>
          <w:szCs w:val="22"/>
        </w:rPr>
      </w:pPr>
    </w:p>
    <w:p w14:paraId="1B228627"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sz w:val="22"/>
          <w:szCs w:val="22"/>
        </w:rPr>
        <w:t>C.</w:t>
      </w:r>
      <w:r w:rsidRPr="00897FF5">
        <w:rPr>
          <w:rFonts w:ascii="Aptos" w:eastAsia="Aptos" w:hAnsi="Aptos" w:cs="Times New Roman"/>
          <w:b/>
          <w:bCs/>
          <w:sz w:val="22"/>
          <w:szCs w:val="22"/>
        </w:rPr>
        <w:tab/>
        <w:t>Benefit By Other Means</w:t>
      </w:r>
      <w:r w:rsidRPr="00897FF5">
        <w:rPr>
          <w:rFonts w:ascii="Aptos" w:eastAsia="Aptos" w:hAnsi="Aptos" w:cs="Times New Roman"/>
          <w:sz w:val="22"/>
          <w:szCs w:val="22"/>
        </w:rPr>
        <w:t>: The benefits sought, which are additional storage for short-term rental operations and family use, can be achieved by feasible alternatives without variances. The Applicant could relocate the structure to comply with setbacks, perhaps by reducing its size to fit within code limits or using internal reorganization of the dwelling. Off-site storage or a smaller, non-climate-controlled shed in a compliant location would suffice for the described needs without encroaching on easements or boundaries.</w:t>
      </w:r>
    </w:p>
    <w:p w14:paraId="16813DC5" w14:textId="77777777" w:rsidR="00897FF5" w:rsidRPr="00897FF5" w:rsidRDefault="00897FF5" w:rsidP="00897FF5">
      <w:pPr>
        <w:spacing w:after="0" w:line="240" w:lineRule="auto"/>
        <w:jc w:val="both"/>
        <w:rPr>
          <w:rFonts w:ascii="Aptos" w:eastAsia="Aptos" w:hAnsi="Aptos" w:cs="Times New Roman"/>
          <w:sz w:val="22"/>
          <w:szCs w:val="22"/>
        </w:rPr>
      </w:pPr>
    </w:p>
    <w:p w14:paraId="772B597F"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sz w:val="22"/>
          <w:szCs w:val="22"/>
        </w:rPr>
        <w:t>D.</w:t>
      </w:r>
      <w:r w:rsidRPr="00897FF5">
        <w:rPr>
          <w:rFonts w:ascii="Aptos" w:eastAsia="Aptos" w:hAnsi="Aptos" w:cs="Times New Roman"/>
          <w:b/>
          <w:bCs/>
          <w:sz w:val="22"/>
          <w:szCs w:val="22"/>
        </w:rPr>
        <w:tab/>
        <w:t>Substantiality</w:t>
      </w:r>
      <w:r w:rsidRPr="00897FF5">
        <w:rPr>
          <w:rFonts w:ascii="Aptos" w:eastAsia="Aptos" w:hAnsi="Aptos" w:cs="Times New Roman"/>
          <w:sz w:val="22"/>
          <w:szCs w:val="22"/>
        </w:rPr>
        <w:t xml:space="preserve">: While each individual variance may not be substantial on its own, taken together, the variances must be viewed as substantial. The cumulative effect of </w:t>
      </w:r>
      <w:r w:rsidRPr="00897FF5">
        <w:rPr>
          <w:rFonts w:ascii="Aptos" w:eastAsia="Aptos" w:hAnsi="Aptos" w:cs="Times New Roman"/>
          <w:color w:val="000000"/>
          <w:sz w:val="22"/>
          <w:szCs w:val="22"/>
        </w:rPr>
        <w:t>variances for lot area (12.6%), lot width (50%), front yard (33%), and multiple side yard measurements (ranging from 52% to 62%) represents a signific</w:t>
      </w:r>
      <w:r w:rsidRPr="00897FF5">
        <w:rPr>
          <w:rFonts w:ascii="Aptos" w:eastAsia="Aptos" w:hAnsi="Aptos" w:cs="Times New Roman"/>
          <w:sz w:val="22"/>
          <w:szCs w:val="22"/>
        </w:rPr>
        <w:t>ant deviation from code requirements, especially on an undersized lot. This aggregation amplifies the overdevelopment, pushing the property beyond reasonable nonconformity.</w:t>
      </w:r>
    </w:p>
    <w:p w14:paraId="55156069" w14:textId="77777777" w:rsidR="00897FF5" w:rsidRPr="00897FF5" w:rsidRDefault="00897FF5" w:rsidP="00897FF5">
      <w:pPr>
        <w:spacing w:after="0" w:line="240" w:lineRule="auto"/>
        <w:jc w:val="both"/>
        <w:rPr>
          <w:rFonts w:ascii="Aptos" w:eastAsia="Aptos" w:hAnsi="Aptos" w:cs="Times New Roman"/>
          <w:sz w:val="22"/>
          <w:szCs w:val="22"/>
        </w:rPr>
      </w:pPr>
    </w:p>
    <w:p w14:paraId="30207EFA"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sz w:val="22"/>
          <w:szCs w:val="22"/>
        </w:rPr>
        <w:t>E.</w:t>
      </w:r>
      <w:r w:rsidRPr="00897FF5">
        <w:rPr>
          <w:rFonts w:ascii="Aptos" w:eastAsia="Aptos" w:hAnsi="Aptos" w:cs="Times New Roman"/>
          <w:b/>
          <w:bCs/>
          <w:sz w:val="22"/>
          <w:szCs w:val="22"/>
        </w:rPr>
        <w:tab/>
        <w:t>Environmental Conditions:</w:t>
      </w:r>
      <w:r w:rsidRPr="00897FF5">
        <w:rPr>
          <w:rFonts w:ascii="Aptos" w:eastAsia="Aptos" w:hAnsi="Aptos" w:cs="Times New Roman"/>
          <w:sz w:val="22"/>
          <w:szCs w:val="22"/>
        </w:rPr>
        <w:t xml:space="preserve"> The variances would have an adverse impact on physical conditions in the neighborhood. The structure’s encroachment on the sewer easement risks complicating maintenance of critical infrastructure, potentially leading to environmental hazards like sewer backups or spills near Chautauqua Lake. </w:t>
      </w:r>
    </w:p>
    <w:p w14:paraId="69B406B3" w14:textId="77777777" w:rsidR="00897FF5" w:rsidRPr="00897FF5" w:rsidRDefault="00897FF5" w:rsidP="00897FF5">
      <w:pPr>
        <w:spacing w:after="0" w:line="240" w:lineRule="auto"/>
        <w:jc w:val="both"/>
        <w:rPr>
          <w:rFonts w:ascii="Aptos" w:eastAsia="Aptos" w:hAnsi="Aptos" w:cs="Times New Roman"/>
          <w:sz w:val="22"/>
          <w:szCs w:val="22"/>
        </w:rPr>
      </w:pPr>
    </w:p>
    <w:p w14:paraId="3A71DE9D"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sz w:val="22"/>
          <w:szCs w:val="22"/>
        </w:rPr>
        <w:t>F.</w:t>
      </w:r>
      <w:r w:rsidRPr="00897FF5">
        <w:rPr>
          <w:rFonts w:ascii="Aptos" w:eastAsia="Aptos" w:hAnsi="Aptos" w:cs="Times New Roman"/>
          <w:b/>
          <w:bCs/>
          <w:sz w:val="22"/>
          <w:szCs w:val="22"/>
        </w:rPr>
        <w:tab/>
        <w:t>Self-Created Difficulty:</w:t>
      </w:r>
      <w:r w:rsidRPr="00897FF5">
        <w:rPr>
          <w:rFonts w:ascii="Aptos" w:eastAsia="Aptos" w:hAnsi="Aptos" w:cs="Times New Roman"/>
          <w:sz w:val="22"/>
          <w:szCs w:val="22"/>
        </w:rPr>
        <w:t xml:space="preserve"> The alleged difficulty was entirely self-created. The Applicant constructed the larger structure without permits or variances, replacing a prior unpermitted shed, and only sought relief after the fact. This disregard for process exacerbated the issues, including the easement encroachment, which could have been avoided with pre-construction planning.</w:t>
      </w:r>
    </w:p>
    <w:p w14:paraId="3D7601DB" w14:textId="77777777" w:rsidR="00897FF5" w:rsidRPr="00897FF5" w:rsidRDefault="00897FF5" w:rsidP="00897FF5">
      <w:pPr>
        <w:spacing w:after="0" w:line="240" w:lineRule="auto"/>
        <w:jc w:val="both"/>
        <w:rPr>
          <w:rFonts w:ascii="Aptos" w:eastAsia="Aptos" w:hAnsi="Aptos" w:cs="Times New Roman"/>
          <w:sz w:val="22"/>
          <w:szCs w:val="22"/>
        </w:rPr>
      </w:pPr>
    </w:p>
    <w:p w14:paraId="7331F9B5" w14:textId="77777777" w:rsidR="00897FF5" w:rsidRPr="00897FF5" w:rsidRDefault="00897FF5" w:rsidP="00897FF5">
      <w:pPr>
        <w:spacing w:after="0" w:line="240" w:lineRule="auto"/>
        <w:jc w:val="both"/>
        <w:rPr>
          <w:rFonts w:ascii="Aptos" w:eastAsia="Aptos" w:hAnsi="Aptos" w:cs="Times New Roman"/>
          <w:sz w:val="22"/>
          <w:szCs w:val="22"/>
        </w:rPr>
      </w:pPr>
    </w:p>
    <w:p w14:paraId="5F459C13" w14:textId="77777777" w:rsidR="00897FF5" w:rsidRPr="00897FF5" w:rsidRDefault="00897FF5" w:rsidP="00897FF5">
      <w:pPr>
        <w:spacing w:after="0" w:line="240" w:lineRule="auto"/>
        <w:jc w:val="center"/>
        <w:rPr>
          <w:rFonts w:ascii="Aptos" w:eastAsia="Aptos" w:hAnsi="Aptos" w:cs="Times New Roman"/>
          <w:b/>
          <w:bCs/>
          <w:sz w:val="22"/>
          <w:szCs w:val="22"/>
        </w:rPr>
      </w:pPr>
      <w:r w:rsidRPr="00897FF5">
        <w:rPr>
          <w:rFonts w:ascii="Aptos" w:eastAsia="Aptos" w:hAnsi="Aptos" w:cs="Times New Roman"/>
          <w:b/>
          <w:bCs/>
          <w:sz w:val="22"/>
          <w:szCs w:val="22"/>
        </w:rPr>
        <w:t>DETERMINATIONS</w:t>
      </w:r>
    </w:p>
    <w:p w14:paraId="0C81608B" w14:textId="77777777" w:rsidR="00897FF5" w:rsidRPr="00897FF5" w:rsidRDefault="00897FF5" w:rsidP="00897FF5">
      <w:pPr>
        <w:spacing w:after="0" w:line="240" w:lineRule="auto"/>
        <w:jc w:val="both"/>
        <w:rPr>
          <w:rFonts w:ascii="Aptos" w:eastAsia="Aptos" w:hAnsi="Aptos" w:cs="Times New Roman"/>
          <w:sz w:val="22"/>
          <w:szCs w:val="22"/>
        </w:rPr>
      </w:pPr>
    </w:p>
    <w:p w14:paraId="5A616D97"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b/>
          <w:bCs/>
          <w:sz w:val="22"/>
          <w:szCs w:val="22"/>
        </w:rPr>
        <w:t>NOW, THEREFORE, BE IT RESOLVED</w:t>
      </w:r>
      <w:r w:rsidRPr="00897FF5">
        <w:rPr>
          <w:rFonts w:ascii="Aptos" w:eastAsia="Aptos" w:hAnsi="Aptos" w:cs="Times New Roman"/>
          <w:sz w:val="22"/>
          <w:szCs w:val="22"/>
        </w:rPr>
        <w:t xml:space="preserve"> that the Zoning Board of Appeals adopts the following conclusions of law, with regard to the requested variances:</w:t>
      </w:r>
    </w:p>
    <w:p w14:paraId="66B6236D" w14:textId="77777777" w:rsidR="00897FF5" w:rsidRPr="00897FF5" w:rsidRDefault="00897FF5" w:rsidP="00897FF5">
      <w:pPr>
        <w:spacing w:after="0" w:line="240" w:lineRule="auto"/>
        <w:jc w:val="both"/>
        <w:rPr>
          <w:rFonts w:ascii="Aptos" w:eastAsia="Aptos" w:hAnsi="Aptos" w:cs="Times New Roman"/>
          <w:sz w:val="22"/>
          <w:szCs w:val="22"/>
        </w:rPr>
      </w:pPr>
    </w:p>
    <w:p w14:paraId="747A0A2D"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sz w:val="22"/>
          <w:szCs w:val="22"/>
        </w:rPr>
        <w:t>A.</w:t>
      </w:r>
      <w:r w:rsidRPr="00897FF5">
        <w:rPr>
          <w:rFonts w:ascii="Aptos" w:eastAsia="Aptos" w:hAnsi="Aptos" w:cs="Times New Roman"/>
          <w:sz w:val="22"/>
          <w:szCs w:val="22"/>
        </w:rPr>
        <w:tab/>
        <w:t>An undesirable change will be produced in the character of the neighborhood and a detriment to nearby properties will be created by the granting of the area variances.</w:t>
      </w:r>
    </w:p>
    <w:p w14:paraId="08E54AAD" w14:textId="77777777" w:rsidR="00897FF5" w:rsidRPr="00897FF5" w:rsidRDefault="00897FF5" w:rsidP="00897FF5">
      <w:pPr>
        <w:spacing w:after="0" w:line="240" w:lineRule="auto"/>
        <w:jc w:val="both"/>
        <w:rPr>
          <w:rFonts w:ascii="Aptos" w:eastAsia="Aptos" w:hAnsi="Aptos" w:cs="Times New Roman"/>
          <w:sz w:val="22"/>
          <w:szCs w:val="22"/>
        </w:rPr>
      </w:pPr>
    </w:p>
    <w:p w14:paraId="5F6E78BB"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sz w:val="22"/>
          <w:szCs w:val="22"/>
        </w:rPr>
        <w:t xml:space="preserve">B. </w:t>
      </w:r>
      <w:r w:rsidRPr="00897FF5">
        <w:rPr>
          <w:rFonts w:ascii="Aptos" w:eastAsia="Aptos" w:hAnsi="Aptos" w:cs="Times New Roman"/>
          <w:sz w:val="22"/>
          <w:szCs w:val="22"/>
        </w:rPr>
        <w:tab/>
        <w:t>The Applicant has not sufficiently demonstrated that the benefits sought cannot be achieved by some method other than the requested area variances.</w:t>
      </w:r>
    </w:p>
    <w:p w14:paraId="2C1A8C61" w14:textId="77777777" w:rsidR="00897FF5" w:rsidRPr="00897FF5" w:rsidRDefault="00897FF5" w:rsidP="00897FF5">
      <w:pPr>
        <w:spacing w:after="0" w:line="240" w:lineRule="auto"/>
        <w:jc w:val="both"/>
        <w:rPr>
          <w:rFonts w:ascii="Aptos" w:eastAsia="Aptos" w:hAnsi="Aptos" w:cs="Times New Roman"/>
          <w:sz w:val="22"/>
          <w:szCs w:val="22"/>
        </w:rPr>
      </w:pPr>
    </w:p>
    <w:p w14:paraId="1188350A"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sz w:val="22"/>
          <w:szCs w:val="22"/>
        </w:rPr>
        <w:t xml:space="preserve">C.  </w:t>
      </w:r>
      <w:r w:rsidRPr="00897FF5">
        <w:rPr>
          <w:rFonts w:ascii="Aptos" w:eastAsia="Aptos" w:hAnsi="Aptos" w:cs="Times New Roman"/>
          <w:sz w:val="22"/>
          <w:szCs w:val="22"/>
        </w:rPr>
        <w:tab/>
        <w:t>The variances, viewed in aggregate, are substantial.</w:t>
      </w:r>
    </w:p>
    <w:p w14:paraId="31678545" w14:textId="77777777" w:rsidR="00897FF5" w:rsidRPr="00897FF5" w:rsidRDefault="00897FF5" w:rsidP="00897FF5">
      <w:pPr>
        <w:spacing w:after="0" w:line="240" w:lineRule="auto"/>
        <w:jc w:val="both"/>
        <w:rPr>
          <w:rFonts w:ascii="Aptos" w:eastAsia="Aptos" w:hAnsi="Aptos" w:cs="Times New Roman"/>
          <w:sz w:val="22"/>
          <w:szCs w:val="22"/>
        </w:rPr>
      </w:pPr>
    </w:p>
    <w:p w14:paraId="6B706A3A"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sz w:val="22"/>
          <w:szCs w:val="22"/>
        </w:rPr>
        <w:t xml:space="preserve">D. </w:t>
      </w:r>
      <w:r w:rsidRPr="00897FF5">
        <w:rPr>
          <w:rFonts w:ascii="Aptos" w:eastAsia="Aptos" w:hAnsi="Aptos" w:cs="Times New Roman"/>
          <w:sz w:val="22"/>
          <w:szCs w:val="22"/>
        </w:rPr>
        <w:tab/>
        <w:t>The variances will have an adverse effect or impact on the physical or environmental conditions in the neighborhood.</w:t>
      </w:r>
    </w:p>
    <w:p w14:paraId="52A81BD2" w14:textId="77777777" w:rsidR="00897FF5" w:rsidRPr="00897FF5" w:rsidRDefault="00897FF5" w:rsidP="00897FF5">
      <w:pPr>
        <w:spacing w:after="0" w:line="240" w:lineRule="auto"/>
        <w:jc w:val="both"/>
        <w:rPr>
          <w:rFonts w:ascii="Aptos" w:eastAsia="Aptos" w:hAnsi="Aptos" w:cs="Times New Roman"/>
          <w:sz w:val="22"/>
          <w:szCs w:val="22"/>
        </w:rPr>
      </w:pPr>
    </w:p>
    <w:p w14:paraId="16401EBC"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sz w:val="22"/>
          <w:szCs w:val="22"/>
        </w:rPr>
        <w:lastRenderedPageBreak/>
        <w:t xml:space="preserve">E. </w:t>
      </w:r>
      <w:r w:rsidRPr="00897FF5">
        <w:rPr>
          <w:rFonts w:ascii="Aptos" w:eastAsia="Aptos" w:hAnsi="Aptos" w:cs="Times New Roman"/>
          <w:sz w:val="22"/>
          <w:szCs w:val="22"/>
        </w:rPr>
        <w:tab/>
        <w:t>The alleged difficulty was self-created.</w:t>
      </w:r>
    </w:p>
    <w:p w14:paraId="34E7C4CD" w14:textId="77777777" w:rsidR="00897FF5" w:rsidRPr="00897FF5" w:rsidRDefault="00897FF5" w:rsidP="00897FF5">
      <w:pPr>
        <w:spacing w:after="0" w:line="240" w:lineRule="auto"/>
        <w:jc w:val="both"/>
        <w:rPr>
          <w:rFonts w:ascii="Aptos" w:eastAsia="Aptos" w:hAnsi="Aptos" w:cs="Times New Roman"/>
          <w:sz w:val="22"/>
          <w:szCs w:val="22"/>
        </w:rPr>
      </w:pPr>
    </w:p>
    <w:p w14:paraId="3A75B049"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sz w:val="22"/>
          <w:szCs w:val="22"/>
        </w:rPr>
        <w:t xml:space="preserve">F. </w:t>
      </w:r>
      <w:r w:rsidRPr="00897FF5">
        <w:rPr>
          <w:rFonts w:ascii="Aptos" w:eastAsia="Aptos" w:hAnsi="Aptos" w:cs="Times New Roman"/>
          <w:sz w:val="22"/>
          <w:szCs w:val="22"/>
        </w:rPr>
        <w:tab/>
        <w:t>Taken in the whole, any benefit to the Applicant from the variances and the structure they would permit is outweighed by the detriment to the health, safety, and welfare of the neighborhood or community the variances would cause.</w:t>
      </w:r>
    </w:p>
    <w:p w14:paraId="4FF8A2C1" w14:textId="77777777" w:rsidR="00897FF5" w:rsidRPr="00897FF5" w:rsidRDefault="00897FF5" w:rsidP="00897FF5">
      <w:pPr>
        <w:spacing w:after="0" w:line="240" w:lineRule="auto"/>
        <w:jc w:val="both"/>
        <w:rPr>
          <w:rFonts w:ascii="Aptos" w:eastAsia="Aptos" w:hAnsi="Aptos" w:cs="Times New Roman"/>
          <w:sz w:val="22"/>
          <w:szCs w:val="22"/>
        </w:rPr>
      </w:pPr>
    </w:p>
    <w:p w14:paraId="1088B5D6" w14:textId="77777777" w:rsidR="00897FF5" w:rsidRPr="00897FF5" w:rsidRDefault="00897FF5" w:rsidP="00897FF5">
      <w:pPr>
        <w:spacing w:after="0" w:line="240" w:lineRule="auto"/>
        <w:jc w:val="both"/>
        <w:rPr>
          <w:rFonts w:ascii="Aptos" w:eastAsia="Aptos" w:hAnsi="Aptos" w:cs="Times New Roman"/>
          <w:sz w:val="22"/>
          <w:szCs w:val="22"/>
        </w:rPr>
      </w:pPr>
      <w:r w:rsidRPr="00897FF5">
        <w:rPr>
          <w:rFonts w:ascii="Aptos" w:eastAsia="Aptos" w:hAnsi="Aptos" w:cs="Times New Roman"/>
          <w:sz w:val="22"/>
          <w:szCs w:val="22"/>
        </w:rPr>
        <w:t xml:space="preserve">G. </w:t>
      </w:r>
      <w:r w:rsidRPr="00897FF5">
        <w:rPr>
          <w:rFonts w:ascii="Aptos" w:eastAsia="Aptos" w:hAnsi="Aptos" w:cs="Times New Roman"/>
          <w:sz w:val="22"/>
          <w:szCs w:val="22"/>
        </w:rPr>
        <w:tab/>
        <w:t>Accordingly, for the foregoing reasons, the application of William Geary for the area variances necessary to maintain the 14’ x 32’ accessory structure at 2452 Lakeside Drive is denied.</w:t>
      </w:r>
    </w:p>
    <w:p w14:paraId="7E932647" w14:textId="77777777" w:rsidR="00102A63" w:rsidRDefault="00102A63" w:rsidP="00D9539C">
      <w:pPr>
        <w:pStyle w:val="p1"/>
        <w:spacing w:before="0" w:beforeAutospacing="0" w:after="0" w:afterAutospacing="0"/>
        <w:jc w:val="both"/>
        <w:rPr>
          <w:noProof/>
        </w:rPr>
      </w:pPr>
    </w:p>
    <w:p w14:paraId="54CE4728" w14:textId="77777777" w:rsidR="00102A63" w:rsidRDefault="00102A63" w:rsidP="00D9539C">
      <w:pPr>
        <w:pStyle w:val="p1"/>
        <w:spacing w:before="0" w:beforeAutospacing="0" w:after="0" w:afterAutospacing="0"/>
        <w:jc w:val="both"/>
        <w:rPr>
          <w:noProof/>
        </w:rPr>
      </w:pPr>
    </w:p>
    <w:p w14:paraId="1CEADE21" w14:textId="6E307A3C" w:rsidR="00D76AD5" w:rsidRDefault="00D76AD5" w:rsidP="00D9539C">
      <w:pPr>
        <w:pStyle w:val="p1"/>
        <w:spacing w:before="0" w:beforeAutospacing="0" w:after="0" w:afterAutospacing="0"/>
        <w:jc w:val="both"/>
        <w:rPr>
          <w:noProof/>
        </w:rPr>
      </w:pPr>
      <w:r>
        <w:rPr>
          <w:noProof/>
        </w:rPr>
        <w:t>Chairman Tim Young motioned to adopt the decision to deny the applicants variances, seconded by Dave Josephson.</w:t>
      </w:r>
    </w:p>
    <w:p w14:paraId="65AB9738" w14:textId="00E09C8E" w:rsidR="00102A63" w:rsidRDefault="00102A63" w:rsidP="00102A63">
      <w:pPr>
        <w:pStyle w:val="p1"/>
        <w:spacing w:before="0" w:beforeAutospacing="0" w:after="0" w:afterAutospacing="0"/>
        <w:ind w:firstLine="720"/>
        <w:jc w:val="both"/>
        <w:rPr>
          <w:noProof/>
        </w:rPr>
      </w:pPr>
      <w:r>
        <w:rPr>
          <w:noProof/>
        </w:rPr>
        <w:t>Gary Starr – aye</w:t>
      </w:r>
    </w:p>
    <w:p w14:paraId="6B25CB39" w14:textId="5E26B0E3" w:rsidR="00102A63" w:rsidRDefault="00102A63" w:rsidP="00102A63">
      <w:pPr>
        <w:pStyle w:val="p1"/>
        <w:spacing w:before="0" w:beforeAutospacing="0" w:after="0" w:afterAutospacing="0"/>
        <w:ind w:firstLine="720"/>
        <w:jc w:val="both"/>
        <w:rPr>
          <w:noProof/>
        </w:rPr>
      </w:pPr>
      <w:r>
        <w:rPr>
          <w:noProof/>
        </w:rPr>
        <w:t>Tim Young – aye</w:t>
      </w:r>
    </w:p>
    <w:p w14:paraId="186F6DA6" w14:textId="2FAACC0C" w:rsidR="00102A63" w:rsidRDefault="00102A63" w:rsidP="00102A63">
      <w:pPr>
        <w:pStyle w:val="p1"/>
        <w:spacing w:before="0" w:beforeAutospacing="0" w:after="0" w:afterAutospacing="0"/>
        <w:ind w:firstLine="720"/>
        <w:jc w:val="both"/>
        <w:rPr>
          <w:noProof/>
        </w:rPr>
      </w:pPr>
      <w:r>
        <w:rPr>
          <w:noProof/>
        </w:rPr>
        <w:t>Bruce Kidder – aye</w:t>
      </w:r>
    </w:p>
    <w:p w14:paraId="02793FF1" w14:textId="700B53D1" w:rsidR="00102A63" w:rsidRDefault="00102A63" w:rsidP="00102A63">
      <w:pPr>
        <w:pStyle w:val="p1"/>
        <w:spacing w:before="0" w:beforeAutospacing="0" w:after="0" w:afterAutospacing="0"/>
        <w:ind w:firstLine="720"/>
        <w:jc w:val="both"/>
        <w:rPr>
          <w:noProof/>
        </w:rPr>
      </w:pPr>
      <w:r>
        <w:rPr>
          <w:noProof/>
        </w:rPr>
        <w:t>Dave Josephson – aye</w:t>
      </w:r>
    </w:p>
    <w:p w14:paraId="4F978370" w14:textId="1FE1EB32" w:rsidR="00102A63" w:rsidRDefault="00102A63" w:rsidP="00102A63">
      <w:pPr>
        <w:pStyle w:val="p1"/>
        <w:spacing w:before="0" w:beforeAutospacing="0" w:after="0" w:afterAutospacing="0"/>
        <w:jc w:val="both"/>
        <w:rPr>
          <w:noProof/>
        </w:rPr>
      </w:pPr>
      <w:r>
        <w:rPr>
          <w:noProof/>
        </w:rPr>
        <w:t>Carried.</w:t>
      </w:r>
    </w:p>
    <w:p w14:paraId="197F0B4B" w14:textId="77777777" w:rsidR="00102A63" w:rsidRDefault="00102A63" w:rsidP="00102A63">
      <w:pPr>
        <w:pStyle w:val="p1"/>
        <w:spacing w:before="0" w:beforeAutospacing="0" w:after="0" w:afterAutospacing="0"/>
        <w:jc w:val="both"/>
        <w:rPr>
          <w:noProof/>
        </w:rPr>
      </w:pPr>
    </w:p>
    <w:p w14:paraId="09784E6C" w14:textId="02EC1969" w:rsidR="00102A63" w:rsidRDefault="00102A63" w:rsidP="00102A63">
      <w:pPr>
        <w:pStyle w:val="p1"/>
        <w:spacing w:before="0" w:beforeAutospacing="0" w:after="0" w:afterAutospacing="0"/>
        <w:jc w:val="both"/>
        <w:rPr>
          <w:noProof/>
        </w:rPr>
      </w:pPr>
      <w:r>
        <w:rPr>
          <w:noProof/>
        </w:rPr>
        <w:t>Deputy Town Clerk Angela Deppas will email the Gearys the adopted decision.</w:t>
      </w:r>
    </w:p>
    <w:p w14:paraId="2993D388" w14:textId="77777777" w:rsidR="00D4060C" w:rsidRDefault="00D4060C" w:rsidP="00102A63">
      <w:pPr>
        <w:pStyle w:val="p1"/>
        <w:spacing w:before="0" w:beforeAutospacing="0" w:after="0" w:afterAutospacing="0"/>
        <w:jc w:val="both"/>
        <w:rPr>
          <w:noProof/>
        </w:rPr>
      </w:pPr>
    </w:p>
    <w:p w14:paraId="28265432" w14:textId="0DEF1481" w:rsidR="00D4060C" w:rsidRDefault="00D4060C" w:rsidP="00D4060C">
      <w:pPr>
        <w:pStyle w:val="p1"/>
        <w:spacing w:before="0" w:beforeAutospacing="0" w:after="0" w:afterAutospacing="0"/>
        <w:jc w:val="both"/>
        <w:rPr>
          <w:noProof/>
        </w:rPr>
      </w:pPr>
      <w:r>
        <w:rPr>
          <w:noProof/>
        </w:rPr>
        <w:t>Bruce Kidder motioned to adjourn the meeting at 7:10 p.m., which was duly moved by Tim Young. All in favor, carried.</w:t>
      </w:r>
    </w:p>
    <w:p w14:paraId="15B513CA" w14:textId="77777777" w:rsidR="00D4060C" w:rsidRDefault="00D4060C" w:rsidP="00D4060C">
      <w:pPr>
        <w:pStyle w:val="p1"/>
        <w:spacing w:before="0" w:beforeAutospacing="0" w:after="0" w:afterAutospacing="0"/>
        <w:jc w:val="both"/>
        <w:rPr>
          <w:noProof/>
        </w:rPr>
      </w:pPr>
    </w:p>
    <w:p w14:paraId="1C528753" w14:textId="77777777" w:rsidR="00D4060C" w:rsidRDefault="00D4060C" w:rsidP="00D4060C">
      <w:pPr>
        <w:pStyle w:val="p1"/>
        <w:spacing w:before="0" w:beforeAutospacing="0" w:after="0" w:afterAutospacing="0"/>
        <w:jc w:val="both"/>
        <w:rPr>
          <w:noProof/>
        </w:rPr>
      </w:pPr>
    </w:p>
    <w:p w14:paraId="1337596C" w14:textId="77777777" w:rsidR="00D4060C" w:rsidRPr="00D4060C" w:rsidRDefault="00D4060C" w:rsidP="00D4060C">
      <w:pPr>
        <w:pStyle w:val="p1"/>
        <w:spacing w:before="0" w:beforeAutospacing="0" w:after="0" w:afterAutospacing="0"/>
        <w:jc w:val="both"/>
        <w:rPr>
          <w:noProof/>
        </w:rPr>
      </w:pPr>
    </w:p>
    <w:p w14:paraId="48B1B8D0" w14:textId="5EC4E33B" w:rsidR="00D4060C" w:rsidRDefault="00D4060C" w:rsidP="00D4060C">
      <w:pPr>
        <w:pStyle w:val="p1"/>
        <w:spacing w:before="0" w:beforeAutospacing="0" w:after="0" w:afterAutospacing="0"/>
        <w:rPr>
          <w:noProof/>
        </w:rPr>
      </w:pPr>
      <w:r w:rsidRPr="00D4060C">
        <w:rPr>
          <w:noProof/>
        </w:rPr>
        <w:t>Respectfully given,</w:t>
      </w:r>
    </w:p>
    <w:p w14:paraId="16E0A3DD" w14:textId="77777777" w:rsidR="00D4060C" w:rsidRDefault="00D4060C" w:rsidP="00D4060C">
      <w:pPr>
        <w:pStyle w:val="p1"/>
        <w:spacing w:before="0" w:beforeAutospacing="0" w:after="0" w:afterAutospacing="0"/>
        <w:rPr>
          <w:noProof/>
        </w:rPr>
      </w:pPr>
    </w:p>
    <w:p w14:paraId="34832764" w14:textId="77777777" w:rsidR="00D4060C" w:rsidRPr="00D4060C" w:rsidRDefault="00D4060C" w:rsidP="00D4060C">
      <w:pPr>
        <w:pStyle w:val="p1"/>
        <w:spacing w:before="0" w:beforeAutospacing="0" w:after="0" w:afterAutospacing="0"/>
        <w:rPr>
          <w:noProof/>
        </w:rPr>
      </w:pPr>
    </w:p>
    <w:p w14:paraId="650BDEE6" w14:textId="77777777" w:rsidR="00D4060C" w:rsidRPr="00D4060C" w:rsidRDefault="00D4060C" w:rsidP="00D4060C">
      <w:pPr>
        <w:pStyle w:val="p1"/>
        <w:spacing w:before="0" w:beforeAutospacing="0" w:after="0" w:afterAutospacing="0"/>
        <w:rPr>
          <w:noProof/>
        </w:rPr>
      </w:pPr>
      <w:r w:rsidRPr="00D4060C">
        <w:rPr>
          <w:noProof/>
        </w:rPr>
        <w:t>______________________________</w:t>
      </w:r>
    </w:p>
    <w:p w14:paraId="13730782" w14:textId="77777777" w:rsidR="00D4060C" w:rsidRPr="00D4060C" w:rsidRDefault="00D4060C" w:rsidP="00D4060C">
      <w:pPr>
        <w:pStyle w:val="p1"/>
        <w:spacing w:before="0" w:beforeAutospacing="0" w:after="0" w:afterAutospacing="0"/>
        <w:rPr>
          <w:noProof/>
        </w:rPr>
      </w:pPr>
      <w:r w:rsidRPr="00D4060C">
        <w:rPr>
          <w:noProof/>
        </w:rPr>
        <w:t>Angela Deppas, Deputy Town Clerk</w:t>
      </w:r>
    </w:p>
    <w:p w14:paraId="1B82DF0A" w14:textId="77777777" w:rsidR="00D4060C" w:rsidRDefault="00D4060C" w:rsidP="00102A63">
      <w:pPr>
        <w:pStyle w:val="p1"/>
        <w:spacing w:before="0" w:beforeAutospacing="0" w:after="0" w:afterAutospacing="0"/>
        <w:jc w:val="both"/>
        <w:rPr>
          <w:noProof/>
        </w:rPr>
      </w:pPr>
    </w:p>
    <w:sectPr w:rsidR="00D4060C" w:rsidSect="00897FF5">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63D"/>
    <w:rsid w:val="00067C79"/>
    <w:rsid w:val="00102A63"/>
    <w:rsid w:val="00104CFB"/>
    <w:rsid w:val="00143D47"/>
    <w:rsid w:val="001B1AEA"/>
    <w:rsid w:val="001F32F1"/>
    <w:rsid w:val="001F5F18"/>
    <w:rsid w:val="00252B40"/>
    <w:rsid w:val="0044463D"/>
    <w:rsid w:val="005237EF"/>
    <w:rsid w:val="005509C8"/>
    <w:rsid w:val="00582888"/>
    <w:rsid w:val="0062325F"/>
    <w:rsid w:val="00653DAE"/>
    <w:rsid w:val="00743BD9"/>
    <w:rsid w:val="0074717C"/>
    <w:rsid w:val="00847DDB"/>
    <w:rsid w:val="008646B5"/>
    <w:rsid w:val="00897FF5"/>
    <w:rsid w:val="009E2C7B"/>
    <w:rsid w:val="00A6405B"/>
    <w:rsid w:val="00AC6140"/>
    <w:rsid w:val="00AE0F2A"/>
    <w:rsid w:val="00BD5A42"/>
    <w:rsid w:val="00C5075C"/>
    <w:rsid w:val="00C73A1B"/>
    <w:rsid w:val="00D007A5"/>
    <w:rsid w:val="00D1778C"/>
    <w:rsid w:val="00D3781B"/>
    <w:rsid w:val="00D4060C"/>
    <w:rsid w:val="00D556B8"/>
    <w:rsid w:val="00D76AD5"/>
    <w:rsid w:val="00D9539C"/>
    <w:rsid w:val="00E75BD6"/>
    <w:rsid w:val="00EF4E65"/>
    <w:rsid w:val="00F958E2"/>
    <w:rsid w:val="00FC15B6"/>
    <w:rsid w:val="00FD6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41B94457"/>
  <w15:chartTrackingRefBased/>
  <w15:docId w15:val="{C2A33B7F-4B36-F349-9A8E-02B130B5D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46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46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46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46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46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46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46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46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46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46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46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46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46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46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46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46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46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463D"/>
    <w:rPr>
      <w:rFonts w:eastAsiaTheme="majorEastAsia" w:cstheme="majorBidi"/>
      <w:color w:val="272727" w:themeColor="text1" w:themeTint="D8"/>
    </w:rPr>
  </w:style>
  <w:style w:type="paragraph" w:styleId="Title">
    <w:name w:val="Title"/>
    <w:basedOn w:val="Normal"/>
    <w:next w:val="Normal"/>
    <w:link w:val="TitleChar"/>
    <w:uiPriority w:val="10"/>
    <w:qFormat/>
    <w:rsid w:val="004446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46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46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46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463D"/>
    <w:pPr>
      <w:spacing w:before="160"/>
      <w:jc w:val="center"/>
    </w:pPr>
    <w:rPr>
      <w:i/>
      <w:iCs/>
      <w:color w:val="404040" w:themeColor="text1" w:themeTint="BF"/>
    </w:rPr>
  </w:style>
  <w:style w:type="character" w:customStyle="1" w:styleId="QuoteChar">
    <w:name w:val="Quote Char"/>
    <w:basedOn w:val="DefaultParagraphFont"/>
    <w:link w:val="Quote"/>
    <w:uiPriority w:val="29"/>
    <w:rsid w:val="0044463D"/>
    <w:rPr>
      <w:i/>
      <w:iCs/>
      <w:color w:val="404040" w:themeColor="text1" w:themeTint="BF"/>
    </w:rPr>
  </w:style>
  <w:style w:type="paragraph" w:styleId="ListParagraph">
    <w:name w:val="List Paragraph"/>
    <w:basedOn w:val="Normal"/>
    <w:uiPriority w:val="34"/>
    <w:qFormat/>
    <w:rsid w:val="0044463D"/>
    <w:pPr>
      <w:ind w:left="720"/>
      <w:contextualSpacing/>
    </w:pPr>
  </w:style>
  <w:style w:type="character" w:styleId="IntenseEmphasis">
    <w:name w:val="Intense Emphasis"/>
    <w:basedOn w:val="DefaultParagraphFont"/>
    <w:uiPriority w:val="21"/>
    <w:qFormat/>
    <w:rsid w:val="0044463D"/>
    <w:rPr>
      <w:i/>
      <w:iCs/>
      <w:color w:val="0F4761" w:themeColor="accent1" w:themeShade="BF"/>
    </w:rPr>
  </w:style>
  <w:style w:type="paragraph" w:styleId="IntenseQuote">
    <w:name w:val="Intense Quote"/>
    <w:basedOn w:val="Normal"/>
    <w:next w:val="Normal"/>
    <w:link w:val="IntenseQuoteChar"/>
    <w:uiPriority w:val="30"/>
    <w:qFormat/>
    <w:rsid w:val="004446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463D"/>
    <w:rPr>
      <w:i/>
      <w:iCs/>
      <w:color w:val="0F4761" w:themeColor="accent1" w:themeShade="BF"/>
    </w:rPr>
  </w:style>
  <w:style w:type="character" w:styleId="IntenseReference">
    <w:name w:val="Intense Reference"/>
    <w:basedOn w:val="DefaultParagraphFont"/>
    <w:uiPriority w:val="32"/>
    <w:qFormat/>
    <w:rsid w:val="0044463D"/>
    <w:rPr>
      <w:b/>
      <w:bCs/>
      <w:smallCaps/>
      <w:color w:val="0F4761" w:themeColor="accent1" w:themeShade="BF"/>
      <w:spacing w:val="5"/>
    </w:rPr>
  </w:style>
  <w:style w:type="paragraph" w:customStyle="1" w:styleId="p1">
    <w:name w:val="p1"/>
    <w:basedOn w:val="Normal"/>
    <w:rsid w:val="0044463D"/>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2756</Words>
  <Characters>14831</Characters>
  <Application>Microsoft Office Word</Application>
  <DocSecurity>0</DocSecurity>
  <Lines>302</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Deppas</dc:creator>
  <cp:keywords/>
  <dc:description/>
  <cp:lastModifiedBy>Angela Deppas</cp:lastModifiedBy>
  <cp:revision>3</cp:revision>
  <dcterms:created xsi:type="dcterms:W3CDTF">2026-06-15T12:34:00Z</dcterms:created>
  <dcterms:modified xsi:type="dcterms:W3CDTF">2026-06-15T12:40:00Z</dcterms:modified>
</cp:coreProperties>
</file>